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3"/>
        <w:gridCol w:w="4343"/>
        <w:gridCol w:w="4343"/>
      </w:tblGrid>
      <w:tr w:rsidR="00257A12">
        <w:trPr>
          <w:trHeight w:val="533"/>
          <w:tblHeader/>
        </w:trPr>
        <w:tc>
          <w:tcPr>
            <w:tcW w:w="4343" w:type="dxa"/>
          </w:tcPr>
          <w:p w:rsidR="00257A12" w:rsidRDefault="00257A12">
            <w:pPr>
              <w:rPr>
                <w:rFonts w:ascii="Times New Roman" w:hAnsi="Times New Roman"/>
                <w:b/>
                <w:sz w:val="18"/>
              </w:rPr>
            </w:pPr>
            <w:r>
              <w:rPr>
                <w:rFonts w:ascii="Times New Roman" w:hAnsi="Times New Roman"/>
                <w:b/>
                <w:sz w:val="18"/>
              </w:rPr>
              <w:t>Program Outcome</w:t>
            </w:r>
          </w:p>
          <w:p w:rsidR="00257A12" w:rsidRDefault="00257A12">
            <w:pPr>
              <w:rPr>
                <w:rFonts w:ascii="Times New Roman" w:hAnsi="Times New Roman"/>
                <w:b/>
                <w:sz w:val="18"/>
              </w:rPr>
            </w:pPr>
            <w:r>
              <w:rPr>
                <w:rFonts w:ascii="Times New Roman" w:hAnsi="Times New Roman"/>
                <w:b/>
                <w:sz w:val="18"/>
              </w:rPr>
              <w:t>(Stated in Measurable Terms)</w:t>
            </w:r>
          </w:p>
        </w:tc>
        <w:tc>
          <w:tcPr>
            <w:tcW w:w="4343" w:type="dxa"/>
          </w:tcPr>
          <w:p w:rsidR="00257A12" w:rsidRDefault="00257A12">
            <w:pPr>
              <w:rPr>
                <w:rFonts w:ascii="Times New Roman" w:hAnsi="Times New Roman"/>
                <w:b/>
                <w:sz w:val="18"/>
              </w:rPr>
            </w:pPr>
            <w:r>
              <w:rPr>
                <w:rFonts w:ascii="Times New Roman" w:hAnsi="Times New Roman"/>
                <w:b/>
                <w:sz w:val="18"/>
              </w:rPr>
              <w:t>Assessment Methods</w:t>
            </w:r>
          </w:p>
        </w:tc>
        <w:tc>
          <w:tcPr>
            <w:tcW w:w="4343" w:type="dxa"/>
          </w:tcPr>
          <w:p w:rsidR="00257A12" w:rsidRDefault="00257A12">
            <w:pPr>
              <w:pStyle w:val="Heading1"/>
            </w:pPr>
            <w:r>
              <w:t xml:space="preserve">Results </w:t>
            </w:r>
          </w:p>
          <w:p w:rsidR="00257A12" w:rsidRDefault="00257A12">
            <w:r>
              <w:rPr>
                <w:rFonts w:ascii="Times New Roman" w:hAnsi="Times New Roman"/>
                <w:b/>
                <w:sz w:val="18"/>
              </w:rPr>
              <w:t>(Data Summary and Analysis)</w:t>
            </w:r>
          </w:p>
        </w:tc>
      </w:tr>
      <w:tr w:rsidR="00257A12">
        <w:trPr>
          <w:trHeight w:val="5453"/>
        </w:trPr>
        <w:tc>
          <w:tcPr>
            <w:tcW w:w="4343" w:type="dxa"/>
          </w:tcPr>
          <w:p w:rsidR="00257A12" w:rsidRDefault="00257A12">
            <w:pPr>
              <w:rPr>
                <w:sz w:val="16"/>
              </w:rPr>
            </w:pPr>
          </w:p>
          <w:p w:rsidR="00257A12" w:rsidRDefault="00257A12">
            <w:pPr>
              <w:rPr>
                <w:sz w:val="16"/>
              </w:rPr>
            </w:pPr>
            <w:r>
              <w:rPr>
                <w:sz w:val="16"/>
              </w:rPr>
              <w:t xml:space="preserve">Full-time faculty will exhibit scholarship or professional development in their field. </w:t>
            </w:r>
          </w:p>
        </w:tc>
        <w:tc>
          <w:tcPr>
            <w:tcW w:w="4343" w:type="dxa"/>
          </w:tcPr>
          <w:p w:rsidR="00257A12" w:rsidRPr="00654C1F" w:rsidRDefault="00257A12">
            <w:pPr>
              <w:rPr>
                <w:sz w:val="16"/>
              </w:rPr>
            </w:pPr>
          </w:p>
          <w:p w:rsidR="00257A12" w:rsidRDefault="00257A12">
            <w:pPr>
              <w:rPr>
                <w:color w:val="000000"/>
                <w:sz w:val="16"/>
              </w:rPr>
            </w:pPr>
            <w:r w:rsidRPr="00654C1F">
              <w:rPr>
                <w:color w:val="000000"/>
                <w:sz w:val="16"/>
              </w:rPr>
              <w:t>Full-time faculty annually will meet one or more of the following criteria concerning scholarship or professi</w:t>
            </w:r>
            <w:r w:rsidR="00A408FC">
              <w:rPr>
                <w:color w:val="000000"/>
                <w:sz w:val="16"/>
              </w:rPr>
              <w:t>onal development in their field:</w:t>
            </w:r>
          </w:p>
          <w:p w:rsidR="00A408FC" w:rsidRPr="00654C1F" w:rsidRDefault="00A408FC">
            <w:pPr>
              <w:rPr>
                <w:sz w:val="16"/>
              </w:rPr>
            </w:pPr>
          </w:p>
          <w:p w:rsidR="00257A12" w:rsidRPr="00654C1F" w:rsidRDefault="00257A12" w:rsidP="00257A12">
            <w:pPr>
              <w:numPr>
                <w:ilvl w:val="0"/>
                <w:numId w:val="2"/>
              </w:numPr>
              <w:rPr>
                <w:sz w:val="16"/>
              </w:rPr>
            </w:pPr>
            <w:r w:rsidRPr="00654C1F">
              <w:rPr>
                <w:sz w:val="16"/>
              </w:rPr>
              <w:t>Publish research/scholarly work</w:t>
            </w:r>
          </w:p>
          <w:p w:rsidR="00257A12" w:rsidRPr="00654C1F" w:rsidRDefault="00257A12" w:rsidP="00257A12">
            <w:pPr>
              <w:numPr>
                <w:ilvl w:val="0"/>
                <w:numId w:val="2"/>
              </w:numPr>
              <w:rPr>
                <w:sz w:val="16"/>
              </w:rPr>
            </w:pPr>
            <w:r w:rsidRPr="00654C1F">
              <w:rPr>
                <w:sz w:val="16"/>
              </w:rPr>
              <w:t>Present at professional conference(s)</w:t>
            </w:r>
          </w:p>
          <w:p w:rsidR="00257A12" w:rsidRPr="00654C1F" w:rsidRDefault="00257A12" w:rsidP="00257A12">
            <w:pPr>
              <w:numPr>
                <w:ilvl w:val="0"/>
                <w:numId w:val="2"/>
              </w:numPr>
              <w:rPr>
                <w:sz w:val="16"/>
              </w:rPr>
            </w:pPr>
            <w:r w:rsidRPr="00654C1F">
              <w:rPr>
                <w:sz w:val="16"/>
              </w:rPr>
              <w:t>Present a public reading</w:t>
            </w:r>
          </w:p>
          <w:p w:rsidR="00257A12" w:rsidRPr="00654C1F" w:rsidRDefault="00257A12" w:rsidP="00257A12">
            <w:pPr>
              <w:numPr>
                <w:ilvl w:val="0"/>
                <w:numId w:val="2"/>
              </w:numPr>
              <w:rPr>
                <w:sz w:val="16"/>
              </w:rPr>
            </w:pPr>
            <w:r w:rsidRPr="00654C1F">
              <w:rPr>
                <w:sz w:val="16"/>
              </w:rPr>
              <w:t>Attend a professional conference</w:t>
            </w:r>
          </w:p>
          <w:p w:rsidR="00257A12" w:rsidRPr="00654C1F" w:rsidRDefault="00257A12" w:rsidP="00257A12">
            <w:pPr>
              <w:numPr>
                <w:ilvl w:val="0"/>
                <w:numId w:val="2"/>
              </w:numPr>
              <w:rPr>
                <w:sz w:val="16"/>
              </w:rPr>
            </w:pPr>
            <w:r w:rsidRPr="00654C1F">
              <w:rPr>
                <w:sz w:val="16"/>
              </w:rPr>
              <w:t>Attend professional training</w:t>
            </w:r>
          </w:p>
          <w:p w:rsidR="00257A12" w:rsidRPr="00654C1F" w:rsidRDefault="00257A12" w:rsidP="00257A12">
            <w:pPr>
              <w:rPr>
                <w:sz w:val="16"/>
              </w:rPr>
            </w:pPr>
          </w:p>
          <w:p w:rsidR="00257A12" w:rsidRPr="00654C1F" w:rsidRDefault="00257A12" w:rsidP="00257A12">
            <w:pPr>
              <w:rPr>
                <w:sz w:val="16"/>
              </w:rPr>
            </w:pPr>
            <w:r w:rsidRPr="00654C1F">
              <w:rPr>
                <w:sz w:val="16"/>
              </w:rPr>
              <w:t xml:space="preserve">Faculty activities will be collected annually in the spring in a self-report. Departments will compile the data into a Departmental Progress Report that will be submitted to the College. </w:t>
            </w:r>
          </w:p>
        </w:tc>
        <w:tc>
          <w:tcPr>
            <w:tcW w:w="4343" w:type="dxa"/>
          </w:tcPr>
          <w:p w:rsidR="00257A12" w:rsidRDefault="00257A12" w:rsidP="00257A12">
            <w:pPr>
              <w:rPr>
                <w:sz w:val="16"/>
              </w:rPr>
            </w:pPr>
            <w:r w:rsidRPr="00654C1F">
              <w:rPr>
                <w:sz w:val="16"/>
              </w:rPr>
              <w:t xml:space="preserve"> </w:t>
            </w:r>
          </w:p>
          <w:p w:rsidR="00451774" w:rsidRDefault="00382E30" w:rsidP="00257A12">
            <w:pPr>
              <w:rPr>
                <w:sz w:val="16"/>
              </w:rPr>
            </w:pPr>
            <w:r>
              <w:rPr>
                <w:sz w:val="16"/>
              </w:rPr>
              <w:t>95</w:t>
            </w:r>
            <w:r w:rsidR="00451774">
              <w:rPr>
                <w:sz w:val="16"/>
              </w:rPr>
              <w:t>% of faculty published at least one article in a peer-reviewed journal</w:t>
            </w:r>
            <w:r w:rsidR="00B56C0B">
              <w:rPr>
                <w:sz w:val="16"/>
              </w:rPr>
              <w:t>. The total number of papers i</w:t>
            </w:r>
            <w:r>
              <w:rPr>
                <w:sz w:val="16"/>
              </w:rPr>
              <w:t>n peer-reviewed journals in 2009</w:t>
            </w:r>
            <w:r w:rsidR="00B56C0B">
              <w:rPr>
                <w:sz w:val="16"/>
              </w:rPr>
              <w:t>-</w:t>
            </w:r>
            <w:r>
              <w:rPr>
                <w:sz w:val="16"/>
              </w:rPr>
              <w:t xml:space="preserve">10 was 140, averaging  6.7 </w:t>
            </w:r>
            <w:r w:rsidR="00E0258D">
              <w:rPr>
                <w:sz w:val="16"/>
              </w:rPr>
              <w:t>papers per faculty.</w:t>
            </w:r>
          </w:p>
          <w:p w:rsidR="00451774" w:rsidRDefault="00B56C0B" w:rsidP="00257A12">
            <w:pPr>
              <w:rPr>
                <w:sz w:val="16"/>
              </w:rPr>
            </w:pPr>
            <w:r>
              <w:rPr>
                <w:sz w:val="16"/>
              </w:rPr>
              <w:t>85</w:t>
            </w:r>
            <w:r w:rsidR="00451774">
              <w:rPr>
                <w:sz w:val="16"/>
              </w:rPr>
              <w:t>% of faculty attended, and gave a presentation at, at least one national or international scientific conference.</w:t>
            </w:r>
            <w:r w:rsidR="00382E30">
              <w:rPr>
                <w:sz w:val="16"/>
              </w:rPr>
              <w:t xml:space="preserve"> A total of 39</w:t>
            </w:r>
            <w:r w:rsidR="00E0258D">
              <w:rPr>
                <w:sz w:val="16"/>
              </w:rPr>
              <w:t xml:space="preserve"> presentations were given t</w:t>
            </w:r>
            <w:r w:rsidR="00382E30">
              <w:rPr>
                <w:sz w:val="16"/>
              </w:rPr>
              <w:t>his academic year, averaging 1.9</w:t>
            </w:r>
            <w:r w:rsidR="00E0258D">
              <w:rPr>
                <w:sz w:val="16"/>
              </w:rPr>
              <w:t xml:space="preserve"> per faculty.</w:t>
            </w:r>
          </w:p>
          <w:p w:rsidR="00451774" w:rsidRPr="00654C1F" w:rsidRDefault="00451774" w:rsidP="00257A12">
            <w:pPr>
              <w:rPr>
                <w:sz w:val="16"/>
                <w:u w:val="single"/>
              </w:rPr>
            </w:pPr>
            <w:r>
              <w:rPr>
                <w:sz w:val="16"/>
              </w:rPr>
              <w:t>.</w:t>
            </w:r>
          </w:p>
        </w:tc>
      </w:tr>
      <w:tr w:rsidR="00257A12" w:rsidTr="00451774">
        <w:trPr>
          <w:trHeight w:val="1232"/>
        </w:trPr>
        <w:tc>
          <w:tcPr>
            <w:tcW w:w="13029" w:type="dxa"/>
            <w:gridSpan w:val="3"/>
          </w:tcPr>
          <w:p w:rsidR="00257A12" w:rsidRDefault="00257A12">
            <w:pPr>
              <w:rPr>
                <w:rFonts w:ascii="Times New Roman" w:hAnsi="Times New Roman"/>
                <w:b/>
                <w:sz w:val="20"/>
              </w:rPr>
            </w:pPr>
            <w:r>
              <w:rPr>
                <w:rFonts w:ascii="Times New Roman" w:hAnsi="Times New Roman"/>
                <w:b/>
                <w:sz w:val="20"/>
              </w:rPr>
              <w:t>Use of Results for Improving Program</w:t>
            </w:r>
          </w:p>
          <w:p w:rsidR="00451774" w:rsidRPr="00451774" w:rsidRDefault="00451774">
            <w:pPr>
              <w:rPr>
                <w:rFonts w:ascii="Times New Roman" w:hAnsi="Times New Roman"/>
                <w:sz w:val="18"/>
              </w:rPr>
            </w:pPr>
            <w:r>
              <w:rPr>
                <w:rFonts w:ascii="Times New Roman" w:hAnsi="Times New Roman"/>
                <w:sz w:val="18"/>
              </w:rPr>
              <w:t>A points system will continue to be used to assess faculty productivity that emphasizes the importance of scholarly activity. Discretionary salary raises will be based on the points system.</w:t>
            </w:r>
          </w:p>
        </w:tc>
      </w:tr>
    </w:tbl>
    <w:p w:rsidR="00257A12" w:rsidRPr="00654C1F" w:rsidRDefault="00257A12" w:rsidP="00257A12">
      <w:r w:rsidRPr="00654C1F">
        <w:br w:type="page"/>
      </w:r>
    </w:p>
    <w:tbl>
      <w:tblPr>
        <w:tblW w:w="13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3"/>
        <w:gridCol w:w="4343"/>
        <w:gridCol w:w="4343"/>
      </w:tblGrid>
      <w:tr w:rsidR="00257A12">
        <w:trPr>
          <w:trHeight w:val="533"/>
          <w:tblHeader/>
        </w:trPr>
        <w:tc>
          <w:tcPr>
            <w:tcW w:w="4343" w:type="dxa"/>
          </w:tcPr>
          <w:p w:rsidR="00257A12" w:rsidRDefault="00257A12">
            <w:pPr>
              <w:rPr>
                <w:rFonts w:ascii="Times New Roman" w:hAnsi="Times New Roman"/>
                <w:b/>
                <w:sz w:val="18"/>
              </w:rPr>
            </w:pPr>
            <w:r>
              <w:rPr>
                <w:rFonts w:ascii="Times New Roman" w:hAnsi="Times New Roman"/>
                <w:b/>
                <w:sz w:val="18"/>
              </w:rPr>
              <w:t>Program Outcome</w:t>
            </w:r>
          </w:p>
          <w:p w:rsidR="00257A12" w:rsidRDefault="00257A12">
            <w:pPr>
              <w:rPr>
                <w:rFonts w:ascii="Times New Roman" w:hAnsi="Times New Roman"/>
                <w:b/>
                <w:sz w:val="18"/>
              </w:rPr>
            </w:pPr>
            <w:r>
              <w:rPr>
                <w:rFonts w:ascii="Times New Roman" w:hAnsi="Times New Roman"/>
                <w:b/>
                <w:sz w:val="18"/>
              </w:rPr>
              <w:t>(Stated in Measurable Terms)</w:t>
            </w:r>
          </w:p>
        </w:tc>
        <w:tc>
          <w:tcPr>
            <w:tcW w:w="4343" w:type="dxa"/>
          </w:tcPr>
          <w:p w:rsidR="00257A12" w:rsidRDefault="00257A12">
            <w:pPr>
              <w:rPr>
                <w:rFonts w:ascii="Times New Roman" w:hAnsi="Times New Roman"/>
                <w:b/>
                <w:sz w:val="18"/>
              </w:rPr>
            </w:pPr>
            <w:r>
              <w:rPr>
                <w:rFonts w:ascii="Times New Roman" w:hAnsi="Times New Roman"/>
                <w:b/>
                <w:sz w:val="18"/>
              </w:rPr>
              <w:t>Assessment Methods</w:t>
            </w:r>
          </w:p>
        </w:tc>
        <w:tc>
          <w:tcPr>
            <w:tcW w:w="4343" w:type="dxa"/>
          </w:tcPr>
          <w:p w:rsidR="00257A12" w:rsidRDefault="00257A12">
            <w:pPr>
              <w:pStyle w:val="Heading1"/>
            </w:pPr>
            <w:r>
              <w:t xml:space="preserve">Results </w:t>
            </w:r>
          </w:p>
          <w:p w:rsidR="00257A12" w:rsidRDefault="00257A12">
            <w:r>
              <w:rPr>
                <w:rFonts w:ascii="Times New Roman" w:hAnsi="Times New Roman"/>
                <w:b/>
                <w:sz w:val="18"/>
              </w:rPr>
              <w:t>(Data Summary and Analysis)</w:t>
            </w:r>
          </w:p>
        </w:tc>
      </w:tr>
      <w:tr w:rsidR="00257A12" w:rsidRPr="00CD60F6">
        <w:trPr>
          <w:trHeight w:val="5453"/>
        </w:trPr>
        <w:tc>
          <w:tcPr>
            <w:tcW w:w="4343" w:type="dxa"/>
          </w:tcPr>
          <w:p w:rsidR="00257A12" w:rsidRDefault="00257A12">
            <w:pPr>
              <w:rPr>
                <w:sz w:val="16"/>
              </w:rPr>
            </w:pPr>
          </w:p>
          <w:p w:rsidR="00257A12" w:rsidRDefault="00257A12">
            <w:pPr>
              <w:rPr>
                <w:sz w:val="16"/>
                <w:u w:val="single"/>
              </w:rPr>
            </w:pPr>
            <w:r>
              <w:rPr>
                <w:sz w:val="16"/>
              </w:rPr>
              <w:t xml:space="preserve">Graduates will be prepared for employment or advanced study in their academic field. </w:t>
            </w:r>
          </w:p>
        </w:tc>
        <w:tc>
          <w:tcPr>
            <w:tcW w:w="4343" w:type="dxa"/>
          </w:tcPr>
          <w:p w:rsidR="00257A12" w:rsidRDefault="00257A12">
            <w:pPr>
              <w:rPr>
                <w:sz w:val="16"/>
              </w:rPr>
            </w:pPr>
          </w:p>
          <w:p w:rsidR="00257A12" w:rsidRPr="00A408FC" w:rsidRDefault="00257A12">
            <w:pPr>
              <w:rPr>
                <w:sz w:val="16"/>
              </w:rPr>
            </w:pPr>
            <w:r w:rsidRPr="00A408FC">
              <w:rPr>
                <w:sz w:val="16"/>
              </w:rPr>
              <w:t>The assessment method will be an undergraduate exit survey that will be administered to graduating students. The College will administer the survey every semester. Graduating students will be asked about their current employment and plans for advanced study.</w:t>
            </w:r>
          </w:p>
          <w:p w:rsidR="00257A12" w:rsidRPr="00A408FC" w:rsidRDefault="00257A12">
            <w:pPr>
              <w:rPr>
                <w:sz w:val="16"/>
              </w:rPr>
            </w:pPr>
          </w:p>
          <w:p w:rsidR="00257A12" w:rsidRPr="00A408FC" w:rsidRDefault="00257A12">
            <w:pPr>
              <w:rPr>
                <w:sz w:val="16"/>
              </w:rPr>
            </w:pPr>
            <w:r w:rsidRPr="00A408FC">
              <w:rPr>
                <w:sz w:val="16"/>
              </w:rPr>
              <w:t>An Al</w:t>
            </w:r>
            <w:r w:rsidR="00A408FC">
              <w:rPr>
                <w:sz w:val="16"/>
              </w:rPr>
              <w:t>umni Survey will be conducted</w:t>
            </w:r>
            <w:r w:rsidRPr="00A408FC">
              <w:rPr>
                <w:sz w:val="16"/>
              </w:rPr>
              <w:t xml:space="preserve"> annually in the Spring by CAS that will ask alumni about their current employment and/or further academic training. Alumni will be tracked for three years.  </w:t>
            </w:r>
          </w:p>
          <w:p w:rsidR="00257A12" w:rsidRPr="00A408FC" w:rsidRDefault="00257A12">
            <w:pPr>
              <w:rPr>
                <w:sz w:val="16"/>
              </w:rPr>
            </w:pPr>
          </w:p>
          <w:p w:rsidR="00257A12" w:rsidRPr="00A408FC" w:rsidRDefault="00257A12">
            <w:pPr>
              <w:rPr>
                <w:sz w:val="16"/>
              </w:rPr>
            </w:pPr>
            <w:r w:rsidRPr="00A408FC">
              <w:rPr>
                <w:sz w:val="16"/>
              </w:rPr>
              <w:t xml:space="preserve">Students/alumni will be expected to obtain employment in their academic field within three years of graduation. </w:t>
            </w:r>
          </w:p>
          <w:p w:rsidR="00257A12" w:rsidRDefault="00257A12">
            <w:pPr>
              <w:rPr>
                <w:sz w:val="16"/>
              </w:rPr>
            </w:pPr>
          </w:p>
        </w:tc>
        <w:tc>
          <w:tcPr>
            <w:tcW w:w="4343" w:type="dxa"/>
          </w:tcPr>
          <w:p w:rsidR="00257A12" w:rsidRPr="00CD60F6" w:rsidRDefault="00257A12" w:rsidP="00257A12">
            <w:pPr>
              <w:tabs>
                <w:tab w:val="left" w:pos="3227"/>
              </w:tabs>
              <w:rPr>
                <w:sz w:val="16"/>
              </w:rPr>
            </w:pPr>
          </w:p>
          <w:p w:rsidR="00257A12" w:rsidRPr="00CD60F6" w:rsidRDefault="00C954FB" w:rsidP="00257A12">
            <w:pPr>
              <w:tabs>
                <w:tab w:val="left" w:pos="3227"/>
              </w:tabs>
              <w:rPr>
                <w:sz w:val="16"/>
              </w:rPr>
            </w:pPr>
            <w:r>
              <w:rPr>
                <w:sz w:val="16"/>
              </w:rPr>
              <w:t xml:space="preserve">One BA graduate </w:t>
            </w:r>
            <w:r w:rsidR="001C440D">
              <w:rPr>
                <w:sz w:val="16"/>
              </w:rPr>
              <w:t xml:space="preserve">responded to the survey and is </w:t>
            </w:r>
            <w:r>
              <w:rPr>
                <w:sz w:val="16"/>
              </w:rPr>
              <w:t xml:space="preserve">currently enrolled in a Masters in Health Physics </w:t>
            </w:r>
            <w:r w:rsidR="001C440D">
              <w:rPr>
                <w:sz w:val="16"/>
              </w:rPr>
              <w:t>program.</w:t>
            </w:r>
          </w:p>
          <w:p w:rsidR="00257A12" w:rsidRPr="002D3FBB" w:rsidRDefault="00257A12" w:rsidP="00257A12">
            <w:pPr>
              <w:tabs>
                <w:tab w:val="left" w:pos="3227"/>
              </w:tabs>
              <w:rPr>
                <w:sz w:val="16"/>
              </w:rPr>
            </w:pPr>
          </w:p>
        </w:tc>
      </w:tr>
      <w:tr w:rsidR="00257A12" w:rsidTr="001C440D">
        <w:trPr>
          <w:trHeight w:val="1313"/>
        </w:trPr>
        <w:tc>
          <w:tcPr>
            <w:tcW w:w="13029" w:type="dxa"/>
            <w:gridSpan w:val="3"/>
          </w:tcPr>
          <w:p w:rsidR="00257A12" w:rsidRDefault="00257A12">
            <w:pPr>
              <w:rPr>
                <w:rFonts w:ascii="Times New Roman" w:hAnsi="Times New Roman"/>
                <w:b/>
                <w:sz w:val="20"/>
              </w:rPr>
            </w:pPr>
            <w:r>
              <w:rPr>
                <w:rFonts w:ascii="Times New Roman" w:hAnsi="Times New Roman"/>
                <w:b/>
                <w:sz w:val="20"/>
              </w:rPr>
              <w:t>Use of Results for Improving Program</w:t>
            </w:r>
          </w:p>
          <w:p w:rsidR="008307A4" w:rsidRPr="000A1168" w:rsidRDefault="008307A4">
            <w:pPr>
              <w:rPr>
                <w:rFonts w:ascii="Times New Roman" w:hAnsi="Times New Roman"/>
                <w:b/>
                <w:sz w:val="16"/>
                <w:szCs w:val="16"/>
              </w:rPr>
            </w:pPr>
            <w:r w:rsidRPr="000A1168">
              <w:rPr>
                <w:sz w:val="16"/>
                <w:szCs w:val="16"/>
              </w:rPr>
              <w:t xml:space="preserve">The department has a </w:t>
            </w:r>
            <w:r w:rsidR="000A1168" w:rsidRPr="000A1168">
              <w:rPr>
                <w:sz w:val="16"/>
                <w:szCs w:val="16"/>
              </w:rPr>
              <w:t>“Student Opportunities” committee which informs students of scholarship availability, and job, career or graduate school opportunities.</w:t>
            </w:r>
            <w:r w:rsidRPr="000A1168">
              <w:rPr>
                <w:sz w:val="16"/>
                <w:szCs w:val="16"/>
              </w:rPr>
              <w:t xml:space="preserve"> </w:t>
            </w:r>
            <w:r w:rsidR="000A1168" w:rsidRPr="000A1168">
              <w:rPr>
                <w:sz w:val="16"/>
                <w:szCs w:val="16"/>
              </w:rPr>
              <w:t>This committee will adopt a more proactive role in working with students on job or graduate school applications.</w:t>
            </w:r>
          </w:p>
        </w:tc>
      </w:tr>
      <w:tr w:rsidR="00257A12">
        <w:trPr>
          <w:trHeight w:val="5453"/>
        </w:trPr>
        <w:tc>
          <w:tcPr>
            <w:tcW w:w="4343" w:type="dxa"/>
          </w:tcPr>
          <w:p w:rsidR="00257A12" w:rsidRDefault="00257A12">
            <w:pPr>
              <w:rPr>
                <w:sz w:val="16"/>
              </w:rPr>
            </w:pPr>
          </w:p>
          <w:p w:rsidR="00257A12" w:rsidRDefault="00257A12">
            <w:pPr>
              <w:rPr>
                <w:sz w:val="16"/>
              </w:rPr>
            </w:pPr>
            <w:r>
              <w:rPr>
                <w:sz w:val="16"/>
              </w:rPr>
              <w:t xml:space="preserve">Graduates will be satisfied with their educational experience.  </w:t>
            </w:r>
          </w:p>
        </w:tc>
        <w:tc>
          <w:tcPr>
            <w:tcW w:w="4343" w:type="dxa"/>
          </w:tcPr>
          <w:p w:rsidR="00257A12" w:rsidRDefault="00257A12">
            <w:pPr>
              <w:rPr>
                <w:sz w:val="16"/>
              </w:rPr>
            </w:pPr>
          </w:p>
          <w:p w:rsidR="00257A12" w:rsidRPr="00A408FC" w:rsidRDefault="00257A12">
            <w:pPr>
              <w:rPr>
                <w:sz w:val="16"/>
              </w:rPr>
            </w:pPr>
            <w:r w:rsidRPr="00A408FC">
              <w:rPr>
                <w:sz w:val="16"/>
              </w:rPr>
              <w:t xml:space="preserve">Every semester exit surveys will be distributed via email to graduating students by the College.  One reminder will be sent before the end of the </w:t>
            </w:r>
            <w:r w:rsidR="00A408FC" w:rsidRPr="00A408FC">
              <w:rPr>
                <w:sz w:val="16"/>
              </w:rPr>
              <w:t>semester. The survey includes</w:t>
            </w:r>
            <w:r w:rsidRPr="00A408FC">
              <w:rPr>
                <w:sz w:val="16"/>
              </w:rPr>
              <w:t xml:space="preserve"> items assessing satisfaction in three areas:  academic quality, teaching quality, and student support services.  E</w:t>
            </w:r>
            <w:r w:rsidR="006B0FE5">
              <w:rPr>
                <w:sz w:val="16"/>
              </w:rPr>
              <w:t>ach item will be rated using a 4</w:t>
            </w:r>
            <w:r w:rsidRPr="00A408FC">
              <w:rPr>
                <w:sz w:val="16"/>
              </w:rPr>
              <w:t xml:space="preserve"> point scale; </w:t>
            </w:r>
            <w:r w:rsidR="00FB0DFF">
              <w:rPr>
                <w:sz w:val="16"/>
              </w:rPr>
              <w:t xml:space="preserve">1= not at all satisfied, </w:t>
            </w:r>
            <w:r w:rsidRPr="00A408FC">
              <w:rPr>
                <w:sz w:val="16"/>
              </w:rPr>
              <w:t>4= very satisf</w:t>
            </w:r>
            <w:r w:rsidR="00FB0DFF">
              <w:rPr>
                <w:sz w:val="16"/>
              </w:rPr>
              <w:t>ied</w:t>
            </w:r>
            <w:r w:rsidRPr="00A408FC">
              <w:rPr>
                <w:sz w:val="16"/>
              </w:rPr>
              <w:t>. A mean satisfaction score will be obtained</w:t>
            </w:r>
            <w:r w:rsidR="00FB0DFF">
              <w:rPr>
                <w:sz w:val="16"/>
              </w:rPr>
              <w:t xml:space="preserve"> for each of the three areas </w:t>
            </w:r>
            <w:r w:rsidRPr="00A408FC">
              <w:rPr>
                <w:sz w:val="16"/>
              </w:rPr>
              <w:t>from</w:t>
            </w:r>
            <w:r w:rsidR="00FB0DFF">
              <w:rPr>
                <w:sz w:val="16"/>
              </w:rPr>
              <w:t xml:space="preserve"> the</w:t>
            </w:r>
            <w:r w:rsidRPr="00A408FC">
              <w:rPr>
                <w:sz w:val="16"/>
              </w:rPr>
              <w:t xml:space="preserve"> student</w:t>
            </w:r>
            <w:r w:rsidR="00FB0DFF">
              <w:rPr>
                <w:sz w:val="16"/>
              </w:rPr>
              <w:t>s who respond</w:t>
            </w:r>
            <w:r w:rsidRPr="00A408FC">
              <w:rPr>
                <w:sz w:val="16"/>
              </w:rPr>
              <w:t xml:space="preserve">. Possible scores range from 1-4 with 2.5 or higher representing “satisfactory.” </w:t>
            </w:r>
          </w:p>
          <w:p w:rsidR="00257A12" w:rsidRPr="00A408FC" w:rsidRDefault="00257A12">
            <w:pPr>
              <w:rPr>
                <w:sz w:val="16"/>
              </w:rPr>
            </w:pPr>
          </w:p>
          <w:p w:rsidR="00FB0DFF" w:rsidRDefault="00FB0DFF">
            <w:pPr>
              <w:rPr>
                <w:sz w:val="16"/>
              </w:rPr>
            </w:pPr>
            <w:r>
              <w:rPr>
                <w:sz w:val="16"/>
              </w:rPr>
              <w:t>S</w:t>
            </w:r>
            <w:r w:rsidR="00257A12" w:rsidRPr="00A408FC">
              <w:rPr>
                <w:sz w:val="16"/>
              </w:rPr>
              <w:t>atisfaction scores for graduates will be 2.5 or above.</w:t>
            </w:r>
          </w:p>
          <w:p w:rsidR="00FB0DFF" w:rsidRDefault="00FB0DFF">
            <w:pPr>
              <w:rPr>
                <w:sz w:val="16"/>
              </w:rPr>
            </w:pPr>
          </w:p>
          <w:p w:rsidR="00FB0DFF" w:rsidRDefault="00FB0DFF">
            <w:pPr>
              <w:rPr>
                <w:sz w:val="16"/>
              </w:rPr>
            </w:pPr>
            <w:r>
              <w:rPr>
                <w:sz w:val="16"/>
              </w:rPr>
              <w:t>In addition, the survey asks the students to rate their overall experience at FIU using a four point scale; 1 = excellent, 2 = good, 3 = satisfactory, 4 = poor.</w:t>
            </w:r>
          </w:p>
          <w:p w:rsidR="00FB0DFF" w:rsidRDefault="00FB0DFF">
            <w:pPr>
              <w:rPr>
                <w:sz w:val="16"/>
              </w:rPr>
            </w:pPr>
          </w:p>
          <w:p w:rsidR="00FB0DFF" w:rsidRDefault="00FB0DFF">
            <w:pPr>
              <w:rPr>
                <w:sz w:val="16"/>
              </w:rPr>
            </w:pPr>
            <w:r>
              <w:rPr>
                <w:sz w:val="16"/>
              </w:rPr>
              <w:t xml:space="preserve">Overall experience </w:t>
            </w:r>
            <w:r w:rsidR="00B92C59">
              <w:rPr>
                <w:sz w:val="16"/>
              </w:rPr>
              <w:t xml:space="preserve">scores </w:t>
            </w:r>
            <w:r>
              <w:rPr>
                <w:sz w:val="16"/>
              </w:rPr>
              <w:t>for graduates will be 2.5 or less.</w:t>
            </w:r>
          </w:p>
          <w:p w:rsidR="00257A12" w:rsidRPr="00A408FC" w:rsidRDefault="00257A12">
            <w:pPr>
              <w:rPr>
                <w:sz w:val="16"/>
              </w:rPr>
            </w:pPr>
            <w:r w:rsidRPr="00A408FC">
              <w:rPr>
                <w:sz w:val="16"/>
              </w:rPr>
              <w:t xml:space="preserve"> </w:t>
            </w:r>
          </w:p>
          <w:p w:rsidR="00257A12" w:rsidRPr="00A408FC" w:rsidRDefault="00257A12">
            <w:pPr>
              <w:rPr>
                <w:sz w:val="16"/>
              </w:rPr>
            </w:pPr>
          </w:p>
          <w:p w:rsidR="00257A12" w:rsidRPr="00CD60F6" w:rsidRDefault="00257A12">
            <w:pPr>
              <w:rPr>
                <w:sz w:val="16"/>
                <w:highlight w:val="yellow"/>
              </w:rPr>
            </w:pPr>
          </w:p>
          <w:p w:rsidR="00257A12" w:rsidRDefault="00257A12" w:rsidP="00257A12">
            <w:pPr>
              <w:rPr>
                <w:sz w:val="16"/>
              </w:rPr>
            </w:pPr>
          </w:p>
        </w:tc>
        <w:tc>
          <w:tcPr>
            <w:tcW w:w="4343" w:type="dxa"/>
          </w:tcPr>
          <w:p w:rsidR="00257A12" w:rsidRDefault="00257A12">
            <w:pPr>
              <w:rPr>
                <w:sz w:val="16"/>
              </w:rPr>
            </w:pPr>
            <w:r>
              <w:rPr>
                <w:sz w:val="16"/>
              </w:rPr>
              <w:t xml:space="preserve"> </w:t>
            </w:r>
          </w:p>
          <w:p w:rsidR="00257A12" w:rsidRDefault="001C440D">
            <w:pPr>
              <w:rPr>
                <w:sz w:val="16"/>
              </w:rPr>
            </w:pPr>
            <w:r>
              <w:rPr>
                <w:sz w:val="16"/>
              </w:rPr>
              <w:t xml:space="preserve">One student responded to the survey </w:t>
            </w:r>
            <w:r w:rsidR="006B0FE5">
              <w:rPr>
                <w:sz w:val="16"/>
              </w:rPr>
              <w:t>with the results in the following table:</w:t>
            </w:r>
          </w:p>
          <w:p w:rsidR="00FB0DFF" w:rsidRDefault="00FB0DF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9"/>
              <w:gridCol w:w="630"/>
              <w:gridCol w:w="720"/>
              <w:gridCol w:w="630"/>
              <w:gridCol w:w="810"/>
            </w:tblGrid>
            <w:tr w:rsidR="00A91F89" w:rsidRPr="00A91F89" w:rsidTr="00A91F89">
              <w:tc>
                <w:tcPr>
                  <w:tcW w:w="939" w:type="dxa"/>
                </w:tcPr>
                <w:p w:rsidR="00FB0DFF" w:rsidRPr="00A91F89" w:rsidRDefault="00FB0DFF" w:rsidP="00A91F89">
                  <w:pPr>
                    <w:jc w:val="center"/>
                    <w:rPr>
                      <w:sz w:val="16"/>
                    </w:rPr>
                  </w:pPr>
                  <w:r w:rsidRPr="00A91F89">
                    <w:rPr>
                      <w:sz w:val="16"/>
                    </w:rPr>
                    <w:t>Student</w:t>
                  </w:r>
                  <w:r w:rsidR="007176A4" w:rsidRPr="00A91F89">
                    <w:rPr>
                      <w:sz w:val="16"/>
                    </w:rPr>
                    <w:t>s</w:t>
                  </w:r>
                </w:p>
              </w:tc>
              <w:tc>
                <w:tcPr>
                  <w:tcW w:w="630" w:type="dxa"/>
                </w:tcPr>
                <w:p w:rsidR="00FB0DFF" w:rsidRPr="00A91F89" w:rsidRDefault="00FB0DFF" w:rsidP="00A91F89">
                  <w:pPr>
                    <w:jc w:val="center"/>
                    <w:rPr>
                      <w:sz w:val="16"/>
                    </w:rPr>
                  </w:pPr>
                  <w:r w:rsidRPr="00A91F89">
                    <w:rPr>
                      <w:sz w:val="16"/>
                    </w:rPr>
                    <w:t>Acad</w:t>
                  </w:r>
                </w:p>
                <w:p w:rsidR="00FB0DFF" w:rsidRPr="00A91F89" w:rsidRDefault="00FB0DFF" w:rsidP="00A91F89">
                  <w:pPr>
                    <w:jc w:val="center"/>
                    <w:rPr>
                      <w:sz w:val="16"/>
                    </w:rPr>
                  </w:pPr>
                  <w:r w:rsidRPr="00A91F89">
                    <w:rPr>
                      <w:sz w:val="16"/>
                    </w:rPr>
                    <w:t>Qual</w:t>
                  </w:r>
                </w:p>
              </w:tc>
              <w:tc>
                <w:tcPr>
                  <w:tcW w:w="720" w:type="dxa"/>
                </w:tcPr>
                <w:p w:rsidR="00FB0DFF" w:rsidRPr="00A91F89" w:rsidRDefault="00FB0DFF" w:rsidP="00A91F89">
                  <w:pPr>
                    <w:jc w:val="center"/>
                    <w:rPr>
                      <w:sz w:val="16"/>
                    </w:rPr>
                  </w:pPr>
                  <w:r w:rsidRPr="00A91F89">
                    <w:rPr>
                      <w:sz w:val="16"/>
                    </w:rPr>
                    <w:t>Teach Qual</w:t>
                  </w:r>
                </w:p>
              </w:tc>
              <w:tc>
                <w:tcPr>
                  <w:tcW w:w="630" w:type="dxa"/>
                </w:tcPr>
                <w:p w:rsidR="00FB0DFF" w:rsidRPr="00A91F89" w:rsidRDefault="00FB0DFF" w:rsidP="00A91F89">
                  <w:pPr>
                    <w:jc w:val="center"/>
                    <w:rPr>
                      <w:sz w:val="16"/>
                    </w:rPr>
                  </w:pPr>
                  <w:r w:rsidRPr="00A91F89">
                    <w:rPr>
                      <w:sz w:val="16"/>
                    </w:rPr>
                    <w:t>Stud Supp</w:t>
                  </w:r>
                </w:p>
              </w:tc>
              <w:tc>
                <w:tcPr>
                  <w:tcW w:w="810" w:type="dxa"/>
                </w:tcPr>
                <w:p w:rsidR="00FB0DFF" w:rsidRPr="00A91F89" w:rsidRDefault="00FB0DFF" w:rsidP="00A91F89">
                  <w:pPr>
                    <w:jc w:val="center"/>
                    <w:rPr>
                      <w:sz w:val="16"/>
                    </w:rPr>
                  </w:pPr>
                  <w:r w:rsidRPr="00A91F89">
                    <w:rPr>
                      <w:sz w:val="16"/>
                    </w:rPr>
                    <w:t>Overall</w:t>
                  </w:r>
                </w:p>
              </w:tc>
            </w:tr>
            <w:tr w:rsidR="00A91F89" w:rsidRPr="00A91F89" w:rsidTr="00A91F89">
              <w:tc>
                <w:tcPr>
                  <w:tcW w:w="939" w:type="dxa"/>
                </w:tcPr>
                <w:p w:rsidR="00FB0DFF" w:rsidRPr="00A91F89" w:rsidRDefault="00FB0DFF" w:rsidP="00A91F89">
                  <w:pPr>
                    <w:jc w:val="center"/>
                    <w:rPr>
                      <w:sz w:val="16"/>
                    </w:rPr>
                  </w:pPr>
                  <w:r w:rsidRPr="00A91F89">
                    <w:rPr>
                      <w:sz w:val="16"/>
                    </w:rPr>
                    <w:t>1</w:t>
                  </w:r>
                </w:p>
              </w:tc>
              <w:tc>
                <w:tcPr>
                  <w:tcW w:w="630" w:type="dxa"/>
                </w:tcPr>
                <w:p w:rsidR="00FB0DFF" w:rsidRPr="00A91F89" w:rsidRDefault="00C954FB" w:rsidP="00A91F89">
                  <w:pPr>
                    <w:jc w:val="center"/>
                    <w:rPr>
                      <w:sz w:val="16"/>
                    </w:rPr>
                  </w:pPr>
                  <w:r>
                    <w:rPr>
                      <w:sz w:val="16"/>
                    </w:rPr>
                    <w:t>2.80</w:t>
                  </w:r>
                </w:p>
              </w:tc>
              <w:tc>
                <w:tcPr>
                  <w:tcW w:w="720" w:type="dxa"/>
                </w:tcPr>
                <w:p w:rsidR="00FB0DFF" w:rsidRPr="00A91F89" w:rsidRDefault="00FB0DFF" w:rsidP="00A91F89">
                  <w:pPr>
                    <w:jc w:val="center"/>
                    <w:rPr>
                      <w:sz w:val="16"/>
                    </w:rPr>
                  </w:pPr>
                  <w:r w:rsidRPr="00A91F89">
                    <w:rPr>
                      <w:sz w:val="16"/>
                    </w:rPr>
                    <w:t>3.</w:t>
                  </w:r>
                  <w:r w:rsidR="006B0FE5">
                    <w:rPr>
                      <w:sz w:val="16"/>
                    </w:rPr>
                    <w:t>86</w:t>
                  </w:r>
                </w:p>
              </w:tc>
              <w:tc>
                <w:tcPr>
                  <w:tcW w:w="630" w:type="dxa"/>
                </w:tcPr>
                <w:p w:rsidR="00FB0DFF" w:rsidRPr="00A91F89" w:rsidRDefault="00FB0DFF" w:rsidP="00A91F89">
                  <w:pPr>
                    <w:jc w:val="center"/>
                    <w:rPr>
                      <w:sz w:val="16"/>
                    </w:rPr>
                  </w:pPr>
                  <w:r w:rsidRPr="00A91F89">
                    <w:rPr>
                      <w:sz w:val="16"/>
                    </w:rPr>
                    <w:t>2.</w:t>
                  </w:r>
                  <w:r w:rsidR="006B0FE5">
                    <w:rPr>
                      <w:sz w:val="16"/>
                    </w:rPr>
                    <w:t>6</w:t>
                  </w:r>
                </w:p>
              </w:tc>
              <w:tc>
                <w:tcPr>
                  <w:tcW w:w="810" w:type="dxa"/>
                </w:tcPr>
                <w:p w:rsidR="00FB0DFF" w:rsidRPr="00A91F89" w:rsidRDefault="00FB0DFF" w:rsidP="00A91F89">
                  <w:pPr>
                    <w:jc w:val="center"/>
                    <w:rPr>
                      <w:sz w:val="16"/>
                    </w:rPr>
                  </w:pPr>
                  <w:r w:rsidRPr="00A91F89">
                    <w:rPr>
                      <w:sz w:val="16"/>
                    </w:rPr>
                    <w:t>2</w:t>
                  </w:r>
                </w:p>
              </w:tc>
            </w:tr>
          </w:tbl>
          <w:p w:rsidR="00FB0DFF" w:rsidRDefault="00FB0DFF">
            <w:pPr>
              <w:rPr>
                <w:sz w:val="16"/>
              </w:rPr>
            </w:pPr>
          </w:p>
        </w:tc>
      </w:tr>
      <w:tr w:rsidR="00257A12" w:rsidTr="001C440D">
        <w:trPr>
          <w:trHeight w:val="1502"/>
        </w:trPr>
        <w:tc>
          <w:tcPr>
            <w:tcW w:w="13029" w:type="dxa"/>
            <w:gridSpan w:val="3"/>
          </w:tcPr>
          <w:p w:rsidR="008D5D46" w:rsidRDefault="00257A12">
            <w:pPr>
              <w:rPr>
                <w:rFonts w:ascii="Times New Roman" w:hAnsi="Times New Roman"/>
                <w:b/>
                <w:sz w:val="20"/>
              </w:rPr>
            </w:pPr>
            <w:r>
              <w:rPr>
                <w:rFonts w:ascii="Times New Roman" w:hAnsi="Times New Roman"/>
                <w:b/>
                <w:sz w:val="20"/>
              </w:rPr>
              <w:t>Use of Results for Improving Program</w:t>
            </w:r>
          </w:p>
          <w:p w:rsidR="008D5D46" w:rsidRPr="008D5D46" w:rsidRDefault="008D5D46">
            <w:pPr>
              <w:rPr>
                <w:rFonts w:ascii="Times New Roman" w:hAnsi="Times New Roman"/>
                <w:b/>
                <w:sz w:val="20"/>
              </w:rPr>
            </w:pPr>
            <w:r w:rsidRPr="008D5D46">
              <w:rPr>
                <w:rFonts w:ascii="Times New Roman" w:hAnsi="Times New Roman"/>
                <w:sz w:val="20"/>
              </w:rPr>
              <w:t>The Physics Learning Center, created some years ago under the auspices of a grant, serves as a gathering place for physics majors where they meet, socialize,  study, mentor one another, do homework and plan outreach activities. This has evolved into a learning community that is highly effective in fostering student well being. Efforts will be made to encourage all our majors to take advantage of this outstanding and unique opportunity. Resources will be committed to maintain and expand this facility.  The Society of Physics Students club will be challenged to maintain their current very high level of activity.</w:t>
            </w:r>
          </w:p>
        </w:tc>
      </w:tr>
      <w:tr w:rsidR="00257A12">
        <w:trPr>
          <w:trHeight w:val="1880"/>
        </w:trPr>
        <w:tc>
          <w:tcPr>
            <w:tcW w:w="13029" w:type="dxa"/>
            <w:gridSpan w:val="3"/>
          </w:tcPr>
          <w:p w:rsidR="00257A12" w:rsidRDefault="00257A12">
            <w:pPr>
              <w:rPr>
                <w:rFonts w:ascii="Times New Roman" w:hAnsi="Times New Roman"/>
                <w:sz w:val="20"/>
                <w:u w:val="single"/>
              </w:rPr>
            </w:pPr>
            <w:r>
              <w:rPr>
                <w:rFonts w:ascii="Times New Roman" w:hAnsi="Times New Roman"/>
                <w:sz w:val="20"/>
                <w:u w:val="single"/>
              </w:rPr>
              <w:t>[use the information in column 3 to figure out how to improve on the academic, teaching, and support elements of the survey]</w:t>
            </w:r>
          </w:p>
          <w:p w:rsidR="00257A12" w:rsidRPr="002B7569" w:rsidRDefault="002B7569">
            <w:pPr>
              <w:rPr>
                <w:rFonts w:ascii="Times New Roman" w:hAnsi="Times New Roman"/>
                <w:sz w:val="20"/>
              </w:rPr>
            </w:pPr>
            <w:r w:rsidRPr="002B7569">
              <w:rPr>
                <w:rFonts w:ascii="Times New Roman" w:hAnsi="Times New Roman"/>
                <w:sz w:val="20"/>
              </w:rPr>
              <w:t>The College needs to redesign the survey in ord</w:t>
            </w:r>
            <w:r>
              <w:rPr>
                <w:rFonts w:ascii="Times New Roman" w:hAnsi="Times New Roman"/>
                <w:sz w:val="20"/>
              </w:rPr>
              <w:t>er to make it less ambiguous and</w:t>
            </w:r>
            <w:r w:rsidRPr="002B7569">
              <w:rPr>
                <w:rFonts w:ascii="Times New Roman" w:hAnsi="Times New Roman"/>
                <w:sz w:val="20"/>
              </w:rPr>
              <w:t xml:space="preserve"> easier to interpret. </w:t>
            </w:r>
            <w:r>
              <w:rPr>
                <w:rFonts w:ascii="Times New Roman" w:hAnsi="Times New Roman"/>
                <w:sz w:val="20"/>
              </w:rPr>
              <w:t xml:space="preserve">Inferences will become more meaningful as our program grows and more students participate in the survey. We need to work on a system that guarantees all students will respond. </w:t>
            </w:r>
          </w:p>
          <w:p w:rsidR="00257A12" w:rsidRPr="00D079EB" w:rsidRDefault="00257A12">
            <w:pPr>
              <w:rPr>
                <w:rFonts w:ascii="Times New Roman" w:hAnsi="Times New Roman"/>
                <w:sz w:val="20"/>
              </w:rPr>
            </w:pPr>
          </w:p>
        </w:tc>
      </w:tr>
    </w:tbl>
    <w:p w:rsidR="00257A12" w:rsidRPr="00654C1F" w:rsidRDefault="00257A12" w:rsidP="00257A12"/>
    <w:sectPr w:rsidR="00257A12" w:rsidRPr="00654C1F" w:rsidSect="00257A12">
      <w:headerReference w:type="default" r:id="rId7"/>
      <w:footerReference w:type="default" r:id="rId8"/>
      <w:type w:val="continuous"/>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AAD" w:rsidRDefault="00390AAD">
      <w:r>
        <w:separator/>
      </w:r>
    </w:p>
  </w:endnote>
  <w:endnote w:type="continuationSeparator" w:id="0">
    <w:p w:rsidR="00390AAD" w:rsidRDefault="00390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12" w:rsidRDefault="00257A12">
    <w:pPr>
      <w:pStyle w:val="Footer"/>
      <w:rPr>
        <w:rFonts w:ascii="Times New Roman" w:hAnsi="Times New Roman"/>
        <w:sz w:val="16"/>
      </w:rPr>
    </w:pPr>
    <w:r>
      <w:rPr>
        <w:rFonts w:ascii="Times New Roman" w:hAnsi="Times New Roman"/>
        <w:sz w:val="16"/>
      </w:rPr>
      <w:t xml:space="preserve">Please submit questions and forms to: </w:t>
    </w:r>
    <w:hyperlink r:id="rId1" w:history="1">
      <w:r>
        <w:rPr>
          <w:rStyle w:val="Hyperlink"/>
          <w:rFonts w:ascii="Times New Roman" w:hAnsi="Times New Roman"/>
          <w:sz w:val="16"/>
        </w:rPr>
        <w:t>ie@fiu.edu</w:t>
      </w:r>
    </w:hyperlink>
  </w:p>
  <w:p w:rsidR="00257A12" w:rsidRDefault="00257A12">
    <w:pPr>
      <w:pStyle w:val="Footer"/>
      <w:rPr>
        <w:rFonts w:ascii="Times New Roman" w:hAnsi="Times New Roman"/>
        <w:sz w:val="16"/>
      </w:rPr>
    </w:pPr>
    <w:r>
      <w:rPr>
        <w:rFonts w:ascii="Times New Roman" w:hAnsi="Times New Roman"/>
        <w:sz w:val="16"/>
      </w:rPr>
      <w:t xml:space="preserve">For further information, visit the Institutional Effectiveness website: </w:t>
    </w:r>
    <w:hyperlink r:id="rId2" w:history="1">
      <w:r>
        <w:rPr>
          <w:rStyle w:val="Hyperlink"/>
          <w:rFonts w:ascii="Times New Roman" w:hAnsi="Times New Roman"/>
          <w:sz w:val="16"/>
        </w:rPr>
        <w:t>http://w3.fiu.edu/irdata/portal/inst_effectiveness.htm</w:t>
      </w:r>
    </w:hyperlink>
  </w:p>
  <w:p w:rsidR="00257A12" w:rsidRDefault="00257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AAD" w:rsidRDefault="00390AAD">
      <w:r>
        <w:separator/>
      </w:r>
    </w:p>
  </w:footnote>
  <w:footnote w:type="continuationSeparator" w:id="0">
    <w:p w:rsidR="00390AAD" w:rsidRDefault="00390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12" w:rsidRDefault="00257A12">
    <w:pPr>
      <w:rPr>
        <w:rFonts w:ascii="Times New Roman" w:hAnsi="Times New Roman"/>
      </w:rPr>
    </w:pPr>
    <w:r>
      <w:rPr>
        <w:rFonts w:ascii="Times New Roman" w:hAnsi="Times New Roman"/>
      </w:rPr>
      <w:t>Florida International University:</w:t>
    </w:r>
    <w:r w:rsidR="00382E30">
      <w:rPr>
        <w:rFonts w:ascii="Times New Roman" w:hAnsi="Times New Roman"/>
      </w:rPr>
      <w:tab/>
      <w:t>Program Outcome Assessment 2009-2010</w:t>
    </w:r>
  </w:p>
  <w:p w:rsidR="00257A12" w:rsidRDefault="00257A12">
    <w:pPr>
      <w:rPr>
        <w:rFonts w:ascii="Times New Roman" w:hAnsi="Times New Roman"/>
      </w:rPr>
    </w:pPr>
    <w:r>
      <w:rPr>
        <w:rFonts w:ascii="Times New Roman" w:hAnsi="Times New Roman"/>
      </w:rPr>
      <w:t>Academic Unit:</w:t>
    </w:r>
    <w:r w:rsidR="000433AF">
      <w:rPr>
        <w:rFonts w:ascii="Times New Roman" w:hAnsi="Times New Roman"/>
      </w:rPr>
      <w:t xml:space="preserve"> Physics</w:t>
    </w:r>
    <w:r w:rsidR="000433AF">
      <w:rPr>
        <w:rFonts w:ascii="Times New Roman" w:hAnsi="Times New Roman"/>
      </w:rPr>
      <w:tab/>
    </w:r>
    <w:r w:rsidR="000433AF">
      <w:rPr>
        <w:rFonts w:ascii="Times New Roman" w:hAnsi="Times New Roman"/>
      </w:rPr>
      <w:tab/>
    </w:r>
    <w:r w:rsidR="000433AF">
      <w:rPr>
        <w:rFonts w:ascii="Times New Roman" w:hAnsi="Times New Roman"/>
      </w:rPr>
      <w:tab/>
    </w:r>
    <w:r w:rsidR="000433AF">
      <w:rPr>
        <w:rFonts w:ascii="Times New Roman" w:hAnsi="Times New Roman"/>
      </w:rPr>
      <w:tab/>
      <w:t xml:space="preserve">         </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408FC">
      <w:rPr>
        <w:rFonts w:ascii="Times New Roman" w:hAnsi="Times New Roman"/>
      </w:rPr>
      <w:tab/>
    </w:r>
    <w:r>
      <w:rPr>
        <w:rStyle w:val="PageNumber"/>
        <w:rFonts w:ascii="Times New Roman" w:hAnsi="Times New Roman"/>
      </w:rPr>
      <w:t xml:space="preserve">Page </w:t>
    </w:r>
    <w:r w:rsidR="00B7479B">
      <w:rPr>
        <w:rStyle w:val="PageNumber"/>
        <w:rFonts w:ascii="Times New Roman" w:hAnsi="Times New Roman"/>
      </w:rPr>
      <w:fldChar w:fldCharType="begin"/>
    </w:r>
    <w:r>
      <w:rPr>
        <w:rStyle w:val="PageNumber"/>
        <w:rFonts w:ascii="Times New Roman" w:hAnsi="Times New Roman"/>
      </w:rPr>
      <w:instrText xml:space="preserve"> PAGE </w:instrText>
    </w:r>
    <w:r w:rsidR="00B7479B">
      <w:rPr>
        <w:rStyle w:val="PageNumber"/>
        <w:rFonts w:ascii="Times New Roman" w:hAnsi="Times New Roman"/>
      </w:rPr>
      <w:fldChar w:fldCharType="separate"/>
    </w:r>
    <w:r w:rsidR="00390AAD">
      <w:rPr>
        <w:rStyle w:val="PageNumber"/>
        <w:rFonts w:ascii="Times New Roman" w:hAnsi="Times New Roman"/>
        <w:noProof/>
      </w:rPr>
      <w:t>1</w:t>
    </w:r>
    <w:r w:rsidR="00B7479B">
      <w:rPr>
        <w:rStyle w:val="PageNumber"/>
        <w:rFonts w:ascii="Times New Roman" w:hAnsi="Times New Roman"/>
      </w:rPr>
      <w:fldChar w:fldCharType="end"/>
    </w:r>
  </w:p>
  <w:p w:rsidR="00257A12" w:rsidRDefault="00257A12">
    <w:pPr>
      <w:rPr>
        <w:rFonts w:ascii="Times New Roman" w:hAnsi="Times New Roman"/>
      </w:rPr>
    </w:pPr>
    <w:r>
      <w:rPr>
        <w:rFonts w:ascii="Times New Roman" w:hAnsi="Times New Roman"/>
      </w:rPr>
      <w:t>Degree Program:</w:t>
    </w:r>
    <w:r w:rsidR="006503D3">
      <w:rPr>
        <w:rFonts w:ascii="Times New Roman" w:hAnsi="Times New Roman"/>
      </w:rPr>
      <w:t xml:space="preserve"> BA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57A12" w:rsidRDefault="00257A12" w:rsidP="000433AF">
    <w:pPr>
      <w:rPr>
        <w:rFonts w:ascii="Times New Roman" w:hAnsi="Times New Roman"/>
      </w:rPr>
    </w:pPr>
    <w:r w:rsidRPr="000433AF">
      <w:rPr>
        <w:rFonts w:ascii="Times New Roman" w:hAnsi="Times New Roman"/>
      </w:rPr>
      <w:t>Relation to Unit’s Mission:</w:t>
    </w:r>
    <w:r>
      <w:t xml:space="preserve"> </w:t>
    </w:r>
    <w:r w:rsidR="006503D3">
      <w:rPr>
        <w:rFonts w:ascii="Times New Roman" w:hAnsi="Times New Roman"/>
      </w:rPr>
      <w:t>The Bachelor of Arts prepares students interested in physics and who plan to enter professional schools in business, education, journalism, law, and medicine, and for liberal arts students desiring a strong background in physical science but with career objectives in other areas.  The intent is to educate undergraduate majors with an understanding of basic concepts and laws of nature; to teach undergraduates effective communication skills; and to develop critical thinking skills.</w:t>
    </w:r>
  </w:p>
  <w:p w:rsidR="002B7569" w:rsidRPr="000433AF" w:rsidRDefault="002B7569" w:rsidP="000433AF">
    <w:pP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901EF"/>
    <w:multiLevelType w:val="multilevel"/>
    <w:tmpl w:val="0409001D"/>
    <w:styleLink w:val="Style1"/>
    <w:lvl w:ilvl="0">
      <w:start w:val="1"/>
      <w:numFmt w:val="upperRoman"/>
      <w:lvlText w:val="%1)"/>
      <w:lvlJc w:val="left"/>
      <w:pPr>
        <w:tabs>
          <w:tab w:val="num" w:pos="360"/>
        </w:tabs>
        <w:ind w:left="360" w:hanging="360"/>
      </w:pPr>
      <w:rPr>
        <w:rFonts w:ascii="Times New Roman" w:hAnsi="Times New Roman"/>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360" w:hanging="360"/>
      </w:pPr>
      <w:rPr>
        <w:rFonts w:ascii="Times New Roman" w:hAnsi="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7B8C7DAA"/>
    <w:multiLevelType w:val="hybridMultilevel"/>
    <w:tmpl w:val="5BA422D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224C"/>
    <w:rsid w:val="000433AF"/>
    <w:rsid w:val="000A1168"/>
    <w:rsid w:val="00111B9C"/>
    <w:rsid w:val="001C440D"/>
    <w:rsid w:val="00257A12"/>
    <w:rsid w:val="002B7569"/>
    <w:rsid w:val="00382E30"/>
    <w:rsid w:val="00390AAD"/>
    <w:rsid w:val="00451774"/>
    <w:rsid w:val="00597C67"/>
    <w:rsid w:val="005E6043"/>
    <w:rsid w:val="006503D3"/>
    <w:rsid w:val="006642E9"/>
    <w:rsid w:val="006B0FE5"/>
    <w:rsid w:val="00700BB6"/>
    <w:rsid w:val="007176A4"/>
    <w:rsid w:val="008307A4"/>
    <w:rsid w:val="00884CA8"/>
    <w:rsid w:val="008D5D46"/>
    <w:rsid w:val="00922684"/>
    <w:rsid w:val="00941984"/>
    <w:rsid w:val="00996DD9"/>
    <w:rsid w:val="009B2BC1"/>
    <w:rsid w:val="00A408FC"/>
    <w:rsid w:val="00A91F89"/>
    <w:rsid w:val="00B56C0B"/>
    <w:rsid w:val="00B7479B"/>
    <w:rsid w:val="00B92C59"/>
    <w:rsid w:val="00C62A64"/>
    <w:rsid w:val="00C954FB"/>
    <w:rsid w:val="00E0258D"/>
    <w:rsid w:val="00FB0DFF"/>
    <w:rsid w:val="00FE22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C1F"/>
    <w:rPr>
      <w:rFonts w:ascii="Arial" w:hAnsi="Arial"/>
      <w:sz w:val="24"/>
      <w:szCs w:val="24"/>
    </w:rPr>
  </w:style>
  <w:style w:type="paragraph" w:styleId="Heading1">
    <w:name w:val="heading 1"/>
    <w:basedOn w:val="Normal"/>
    <w:next w:val="Normal"/>
    <w:qFormat/>
    <w:rsid w:val="00654C1F"/>
    <w:pPr>
      <w:keepNext/>
      <w:outlineLvl w:val="0"/>
    </w:pPr>
    <w:rPr>
      <w:rFonts w:ascii="Times New Roman" w:hAnsi="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CB6DD4"/>
    <w:pPr>
      <w:numPr>
        <w:numId w:val="1"/>
      </w:numPr>
    </w:pPr>
  </w:style>
  <w:style w:type="paragraph" w:styleId="Header">
    <w:name w:val="header"/>
    <w:basedOn w:val="Normal"/>
    <w:rsid w:val="00654C1F"/>
    <w:pPr>
      <w:tabs>
        <w:tab w:val="center" w:pos="4320"/>
        <w:tab w:val="right" w:pos="8640"/>
      </w:tabs>
    </w:pPr>
  </w:style>
  <w:style w:type="paragraph" w:styleId="Footer">
    <w:name w:val="footer"/>
    <w:basedOn w:val="Normal"/>
    <w:semiHidden/>
    <w:rsid w:val="00654C1F"/>
    <w:pPr>
      <w:tabs>
        <w:tab w:val="center" w:pos="4320"/>
        <w:tab w:val="right" w:pos="8640"/>
      </w:tabs>
    </w:pPr>
  </w:style>
  <w:style w:type="character" w:styleId="PageNumber">
    <w:name w:val="page number"/>
    <w:basedOn w:val="DefaultParagraphFont"/>
    <w:rsid w:val="00654C1F"/>
  </w:style>
  <w:style w:type="character" w:styleId="Hyperlink">
    <w:name w:val="Hyperlink"/>
    <w:basedOn w:val="DefaultParagraphFont"/>
    <w:rsid w:val="00654C1F"/>
    <w:rPr>
      <w:color w:val="0000FF"/>
      <w:u w:val="single"/>
    </w:rPr>
  </w:style>
  <w:style w:type="table" w:styleId="TableGrid">
    <w:name w:val="Table Grid"/>
    <w:basedOn w:val="TableNormal"/>
    <w:rsid w:val="00FB0D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4113341">
      <w:bodyDiv w:val="1"/>
      <w:marLeft w:val="0"/>
      <w:marRight w:val="0"/>
      <w:marTop w:val="0"/>
      <w:marBottom w:val="0"/>
      <w:divBdr>
        <w:top w:val="none" w:sz="0" w:space="0" w:color="auto"/>
        <w:left w:val="none" w:sz="0" w:space="0" w:color="auto"/>
        <w:bottom w:val="none" w:sz="0" w:space="0" w:color="auto"/>
        <w:right w:val="none" w:sz="0" w:space="0" w:color="auto"/>
      </w:divBdr>
    </w:div>
    <w:div w:id="21265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3.fiu.edu/irdata/portal/inst_effectiveness.htm" TargetMode="External"/><Relationship Id="rId1" Type="http://schemas.openxmlformats.org/officeDocument/2006/relationships/hyperlink" Target="mailto:ie@f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Program Outcome</vt:lpstr>
    </vt:vector>
  </TitlesOfParts>
  <Company>Florida International University</Company>
  <LinksUpToDate>false</LinksUpToDate>
  <CharactersWithSpaces>4592</CharactersWithSpaces>
  <SharedDoc>false</SharedDoc>
  <HLinks>
    <vt:vector size="12" baseType="variant">
      <vt:variant>
        <vt:i4>2424859</vt:i4>
      </vt:variant>
      <vt:variant>
        <vt:i4>6</vt:i4>
      </vt:variant>
      <vt:variant>
        <vt:i4>0</vt:i4>
      </vt:variant>
      <vt:variant>
        <vt:i4>5</vt:i4>
      </vt:variant>
      <vt:variant>
        <vt:lpwstr>http://w3.fiu.edu/irdata/portal/inst_effectiveness.htm</vt:lpwstr>
      </vt:variant>
      <vt:variant>
        <vt:lpwstr/>
      </vt:variant>
      <vt:variant>
        <vt:i4>6815833</vt:i4>
      </vt:variant>
      <vt:variant>
        <vt:i4>3</vt:i4>
      </vt:variant>
      <vt:variant>
        <vt:i4>0</vt:i4>
      </vt:variant>
      <vt:variant>
        <vt:i4>5</vt:i4>
      </vt:variant>
      <vt:variant>
        <vt:lpwstr>mailto:ie@fiu.edu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Outcome</dc:title>
  <dc:subject/>
  <dc:creator>Suzanna  Rose</dc:creator>
  <cp:keywords/>
  <cp:lastModifiedBy>Walter Van Hamme</cp:lastModifiedBy>
  <cp:revision>2</cp:revision>
  <dcterms:created xsi:type="dcterms:W3CDTF">2010-05-26T19:51:00Z</dcterms:created>
  <dcterms:modified xsi:type="dcterms:W3CDTF">2010-05-26T19:51:00Z</dcterms:modified>
</cp:coreProperties>
</file>