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3"/>
        <w:gridCol w:w="4343"/>
        <w:gridCol w:w="4343"/>
      </w:tblGrid>
      <w:tr w:rsidR="00D17EC3">
        <w:trPr>
          <w:trHeight w:val="533"/>
          <w:tblHeader/>
        </w:trPr>
        <w:tc>
          <w:tcPr>
            <w:tcW w:w="4343" w:type="dxa"/>
          </w:tcPr>
          <w:p w:rsidR="00D17EC3" w:rsidRDefault="00D17EC3">
            <w:pPr>
              <w:rPr>
                <w:rFonts w:ascii="Times New Roman" w:hAnsi="Times New Roman"/>
                <w:b/>
                <w:sz w:val="18"/>
              </w:rPr>
            </w:pPr>
            <w:r>
              <w:rPr>
                <w:rFonts w:ascii="Times New Roman" w:hAnsi="Times New Roman"/>
                <w:b/>
                <w:sz w:val="18"/>
              </w:rPr>
              <w:t>Program Outcome</w:t>
            </w:r>
          </w:p>
          <w:p w:rsidR="00D17EC3" w:rsidRDefault="00D17EC3">
            <w:pPr>
              <w:rPr>
                <w:rFonts w:ascii="Times New Roman" w:hAnsi="Times New Roman"/>
                <w:b/>
                <w:sz w:val="18"/>
              </w:rPr>
            </w:pPr>
            <w:r>
              <w:rPr>
                <w:rFonts w:ascii="Times New Roman" w:hAnsi="Times New Roman"/>
                <w:b/>
                <w:sz w:val="18"/>
              </w:rPr>
              <w:t>(Stated in Measurable Terms)</w:t>
            </w:r>
          </w:p>
        </w:tc>
        <w:tc>
          <w:tcPr>
            <w:tcW w:w="4343" w:type="dxa"/>
          </w:tcPr>
          <w:p w:rsidR="00D17EC3" w:rsidRDefault="00D17EC3">
            <w:pPr>
              <w:rPr>
                <w:rFonts w:ascii="Times New Roman" w:hAnsi="Times New Roman"/>
                <w:b/>
                <w:sz w:val="18"/>
              </w:rPr>
            </w:pPr>
            <w:r>
              <w:rPr>
                <w:rFonts w:ascii="Times New Roman" w:hAnsi="Times New Roman"/>
                <w:b/>
                <w:sz w:val="18"/>
              </w:rPr>
              <w:t>Assessment Methods</w:t>
            </w:r>
          </w:p>
        </w:tc>
        <w:tc>
          <w:tcPr>
            <w:tcW w:w="4343" w:type="dxa"/>
          </w:tcPr>
          <w:p w:rsidR="00D17EC3" w:rsidRDefault="00D17EC3">
            <w:pPr>
              <w:pStyle w:val="Heading1"/>
            </w:pPr>
            <w:r>
              <w:t xml:space="preserve">Results </w:t>
            </w:r>
          </w:p>
          <w:p w:rsidR="00D17EC3" w:rsidRDefault="00D17EC3">
            <w:r>
              <w:rPr>
                <w:rFonts w:ascii="Times New Roman" w:hAnsi="Times New Roman"/>
                <w:b/>
                <w:sz w:val="18"/>
              </w:rPr>
              <w:t>(Data Summary and Analysis)</w:t>
            </w:r>
          </w:p>
        </w:tc>
      </w:tr>
      <w:tr w:rsidR="00D17EC3">
        <w:trPr>
          <w:trHeight w:val="5453"/>
        </w:trPr>
        <w:tc>
          <w:tcPr>
            <w:tcW w:w="4343" w:type="dxa"/>
          </w:tcPr>
          <w:p w:rsidR="00D17EC3" w:rsidRDefault="00D17EC3">
            <w:pPr>
              <w:rPr>
                <w:sz w:val="16"/>
              </w:rPr>
            </w:pPr>
          </w:p>
          <w:p w:rsidR="00D17EC3" w:rsidRDefault="00D17EC3">
            <w:pPr>
              <w:rPr>
                <w:sz w:val="16"/>
              </w:rPr>
            </w:pPr>
            <w:r>
              <w:rPr>
                <w:sz w:val="16"/>
              </w:rPr>
              <w:t xml:space="preserve">Graduates will be active professionally.  </w:t>
            </w:r>
          </w:p>
        </w:tc>
        <w:tc>
          <w:tcPr>
            <w:tcW w:w="4343" w:type="dxa"/>
          </w:tcPr>
          <w:p w:rsidR="00D17EC3" w:rsidRDefault="00D17EC3">
            <w:pPr>
              <w:rPr>
                <w:sz w:val="16"/>
              </w:rPr>
            </w:pPr>
          </w:p>
          <w:p w:rsidR="00D17EC3" w:rsidRDefault="00D17EC3">
            <w:pPr>
              <w:rPr>
                <w:sz w:val="16"/>
              </w:rPr>
            </w:pPr>
            <w:r>
              <w:rPr>
                <w:sz w:val="16"/>
              </w:rPr>
              <w:t>Graduates will attend a conference, a workshop or training, present a poster or oral paper at a professional meeting, or will publish a paper in their field.</w:t>
            </w:r>
          </w:p>
          <w:p w:rsidR="00D17EC3" w:rsidRDefault="00D17EC3">
            <w:pPr>
              <w:rPr>
                <w:sz w:val="16"/>
              </w:rPr>
            </w:pPr>
          </w:p>
          <w:p w:rsidR="00D17EC3" w:rsidRDefault="00D17EC3">
            <w:pPr>
              <w:rPr>
                <w:sz w:val="16"/>
              </w:rPr>
            </w:pPr>
            <w:r>
              <w:rPr>
                <w:sz w:val="16"/>
              </w:rPr>
              <w:t xml:space="preserve">In the semester of graduation, graduates will provide the graduate program director a curriculum vitae that provides full citations of professional activities.  The CV will be turned in when the defense is scheduled, or in a capstone or required advanced seminar course.  </w:t>
            </w:r>
          </w:p>
        </w:tc>
        <w:tc>
          <w:tcPr>
            <w:tcW w:w="4343" w:type="dxa"/>
          </w:tcPr>
          <w:p w:rsidR="00D17EC3" w:rsidRDefault="00D17EC3">
            <w:pPr>
              <w:rPr>
                <w:sz w:val="16"/>
                <w:u w:val="single"/>
              </w:rPr>
            </w:pPr>
            <w:r>
              <w:rPr>
                <w:sz w:val="16"/>
              </w:rPr>
              <w:t xml:space="preserve"> </w:t>
            </w:r>
          </w:p>
          <w:p w:rsidR="00D17EC3" w:rsidRPr="001E020C" w:rsidRDefault="00D17EC3" w:rsidP="006E322D">
            <w:pPr>
              <w:rPr>
                <w:sz w:val="16"/>
              </w:rPr>
            </w:pPr>
            <w:r>
              <w:rPr>
                <w:sz w:val="16"/>
              </w:rPr>
              <w:t>Our one graduating Ph.D. student was co-author on one paper and one conference proceeding paper.</w:t>
            </w:r>
          </w:p>
        </w:tc>
      </w:tr>
      <w:tr w:rsidR="00D17EC3">
        <w:trPr>
          <w:trHeight w:val="260"/>
        </w:trPr>
        <w:tc>
          <w:tcPr>
            <w:tcW w:w="13029" w:type="dxa"/>
            <w:gridSpan w:val="3"/>
          </w:tcPr>
          <w:p w:rsidR="00D17EC3" w:rsidRDefault="00D17EC3">
            <w:pPr>
              <w:rPr>
                <w:rFonts w:ascii="Times New Roman" w:hAnsi="Times New Roman"/>
                <w:b/>
                <w:sz w:val="18"/>
              </w:rPr>
            </w:pPr>
            <w:r>
              <w:rPr>
                <w:rFonts w:ascii="Times New Roman" w:hAnsi="Times New Roman"/>
                <w:b/>
                <w:sz w:val="20"/>
              </w:rPr>
              <w:t>Use of Results for Improving Program</w:t>
            </w:r>
          </w:p>
        </w:tc>
      </w:tr>
      <w:tr w:rsidR="00D17EC3">
        <w:trPr>
          <w:trHeight w:val="1880"/>
        </w:trPr>
        <w:tc>
          <w:tcPr>
            <w:tcW w:w="13029" w:type="dxa"/>
            <w:gridSpan w:val="3"/>
          </w:tcPr>
          <w:p w:rsidR="00D17EC3" w:rsidRDefault="00D17EC3">
            <w:pPr>
              <w:rPr>
                <w:rFonts w:ascii="Times New Roman" w:hAnsi="Times New Roman"/>
                <w:sz w:val="20"/>
                <w:u w:val="single"/>
              </w:rPr>
            </w:pPr>
          </w:p>
          <w:p w:rsidR="00D17EC3" w:rsidRPr="00F92D3F" w:rsidRDefault="00D17EC3" w:rsidP="00F92D3F">
            <w:pPr>
              <w:rPr>
                <w:rFonts w:ascii="Times New Roman" w:hAnsi="Times New Roman"/>
                <w:sz w:val="20"/>
              </w:rPr>
            </w:pPr>
            <w:r w:rsidRPr="00F92D3F">
              <w:rPr>
                <w:rFonts w:ascii="Times New Roman" w:hAnsi="Times New Roman"/>
                <w:sz w:val="20"/>
              </w:rPr>
              <w:t>Increasing the number of Ph.D. graduate students attending conferences requires additional resources in the form of travel support. We will vigorously pursue such resources at the College level and we will develop a formal Department policy that faculty include sufficient graduate student travel funds on their grant applications.</w:t>
            </w:r>
          </w:p>
        </w:tc>
      </w:tr>
    </w:tbl>
    <w:p w:rsidR="00D17EC3" w:rsidRDefault="00D17EC3">
      <w:pPr>
        <w:rPr>
          <w:rFonts w:ascii="Times New Roman" w:hAnsi="Times New Roman"/>
          <w:sz w:val="18"/>
        </w:rPr>
      </w:pPr>
    </w:p>
    <w:p w:rsidR="00D17EC3" w:rsidRDefault="00D17EC3">
      <w:pPr>
        <w:rPr>
          <w:rFonts w:ascii="Times New Roman" w:hAnsi="Times New Roman"/>
          <w:sz w:val="18"/>
        </w:rPr>
      </w:pPr>
      <w:r>
        <w:rPr>
          <w:rFonts w:ascii="Times New Roman" w:hAnsi="Times New Roman"/>
          <w:sz w:val="18"/>
        </w:rPr>
        <w:br w:type="page"/>
      </w:r>
    </w:p>
    <w:tbl>
      <w:tblPr>
        <w:tblW w:w="13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3"/>
        <w:gridCol w:w="4343"/>
        <w:gridCol w:w="4343"/>
      </w:tblGrid>
      <w:tr w:rsidR="00D17EC3">
        <w:trPr>
          <w:trHeight w:val="533"/>
          <w:tblHeader/>
        </w:trPr>
        <w:tc>
          <w:tcPr>
            <w:tcW w:w="4343" w:type="dxa"/>
          </w:tcPr>
          <w:p w:rsidR="00D17EC3" w:rsidRDefault="00D17EC3">
            <w:pPr>
              <w:rPr>
                <w:rFonts w:ascii="Times New Roman" w:hAnsi="Times New Roman"/>
                <w:b/>
                <w:sz w:val="18"/>
              </w:rPr>
            </w:pPr>
            <w:r>
              <w:rPr>
                <w:rFonts w:ascii="Times New Roman" w:hAnsi="Times New Roman"/>
                <w:b/>
                <w:sz w:val="18"/>
              </w:rPr>
              <w:t>Program Outcome</w:t>
            </w:r>
          </w:p>
          <w:p w:rsidR="00D17EC3" w:rsidRDefault="00D17EC3">
            <w:pPr>
              <w:rPr>
                <w:rFonts w:ascii="Times New Roman" w:hAnsi="Times New Roman"/>
                <w:b/>
                <w:sz w:val="18"/>
              </w:rPr>
            </w:pPr>
            <w:r>
              <w:rPr>
                <w:rFonts w:ascii="Times New Roman" w:hAnsi="Times New Roman"/>
                <w:b/>
                <w:sz w:val="18"/>
              </w:rPr>
              <w:t>(Stated in Measurable Terms)</w:t>
            </w:r>
          </w:p>
        </w:tc>
        <w:tc>
          <w:tcPr>
            <w:tcW w:w="4343" w:type="dxa"/>
          </w:tcPr>
          <w:p w:rsidR="00D17EC3" w:rsidRDefault="00D17EC3">
            <w:pPr>
              <w:rPr>
                <w:rFonts w:ascii="Times New Roman" w:hAnsi="Times New Roman"/>
                <w:b/>
                <w:sz w:val="18"/>
              </w:rPr>
            </w:pPr>
            <w:r>
              <w:rPr>
                <w:rFonts w:ascii="Times New Roman" w:hAnsi="Times New Roman"/>
                <w:b/>
                <w:sz w:val="18"/>
              </w:rPr>
              <w:t>Assessment Methods</w:t>
            </w:r>
          </w:p>
        </w:tc>
        <w:tc>
          <w:tcPr>
            <w:tcW w:w="4343" w:type="dxa"/>
          </w:tcPr>
          <w:p w:rsidR="00D17EC3" w:rsidRDefault="00D17EC3">
            <w:pPr>
              <w:pStyle w:val="Heading1"/>
            </w:pPr>
            <w:r>
              <w:t xml:space="preserve">Results </w:t>
            </w:r>
          </w:p>
          <w:p w:rsidR="00D17EC3" w:rsidRDefault="00D17EC3">
            <w:r>
              <w:rPr>
                <w:rFonts w:ascii="Times New Roman" w:hAnsi="Times New Roman"/>
                <w:b/>
                <w:sz w:val="18"/>
              </w:rPr>
              <w:t>(Data Summary and Analysis)</w:t>
            </w:r>
          </w:p>
        </w:tc>
      </w:tr>
      <w:tr w:rsidR="00D17EC3">
        <w:trPr>
          <w:trHeight w:val="5453"/>
        </w:trPr>
        <w:tc>
          <w:tcPr>
            <w:tcW w:w="4343" w:type="dxa"/>
          </w:tcPr>
          <w:p w:rsidR="00D17EC3" w:rsidRDefault="00D17EC3">
            <w:pPr>
              <w:rPr>
                <w:sz w:val="16"/>
              </w:rPr>
            </w:pPr>
          </w:p>
          <w:p w:rsidR="00D17EC3" w:rsidRDefault="00D17EC3">
            <w:pPr>
              <w:rPr>
                <w:sz w:val="16"/>
              </w:rPr>
            </w:pPr>
            <w:r>
              <w:rPr>
                <w:sz w:val="16"/>
              </w:rPr>
              <w:t xml:space="preserve">Graduates will be prepared for employment or post-doctoral study.  </w:t>
            </w:r>
          </w:p>
        </w:tc>
        <w:tc>
          <w:tcPr>
            <w:tcW w:w="4343" w:type="dxa"/>
          </w:tcPr>
          <w:p w:rsidR="00D17EC3" w:rsidRDefault="00D17EC3">
            <w:pPr>
              <w:rPr>
                <w:sz w:val="16"/>
              </w:rPr>
            </w:pPr>
          </w:p>
          <w:p w:rsidR="00D17EC3" w:rsidRDefault="00D17EC3">
            <w:pPr>
              <w:rPr>
                <w:sz w:val="16"/>
              </w:rPr>
            </w:pPr>
            <w:r>
              <w:rPr>
                <w:sz w:val="16"/>
              </w:rPr>
              <w:t>Graduates who seek employment will be employed in the field within one year of graduation, or will have received a post-doctoral position within one year of graduation.</w:t>
            </w:r>
          </w:p>
          <w:p w:rsidR="00D17EC3" w:rsidRDefault="00D17EC3">
            <w:pPr>
              <w:rPr>
                <w:sz w:val="16"/>
              </w:rPr>
            </w:pPr>
          </w:p>
          <w:p w:rsidR="00D17EC3" w:rsidRDefault="00D17EC3">
            <w:pPr>
              <w:rPr>
                <w:sz w:val="16"/>
              </w:rPr>
            </w:pPr>
            <w:r>
              <w:rPr>
                <w:sz w:val="16"/>
              </w:rPr>
              <w:t xml:space="preserve">The assessment methods will include:  (1) a graduate exit survey that will be administered to students in the semester in which they are graduating; and (2) an alumni survey administered every spring.  Both surveys will inquire about current employment and advanced training.  The College will administer the surveys.  Data will be provided to graduate program directors each fall and spring.    </w:t>
            </w:r>
          </w:p>
        </w:tc>
        <w:tc>
          <w:tcPr>
            <w:tcW w:w="4343" w:type="dxa"/>
          </w:tcPr>
          <w:p w:rsidR="00D17EC3" w:rsidRDefault="00D17EC3">
            <w:pPr>
              <w:rPr>
                <w:sz w:val="16"/>
              </w:rPr>
            </w:pPr>
            <w:r>
              <w:rPr>
                <w:sz w:val="16"/>
              </w:rPr>
              <w:t xml:space="preserve"> </w:t>
            </w:r>
          </w:p>
          <w:p w:rsidR="00D17EC3" w:rsidRPr="00F92D3F" w:rsidRDefault="00D17EC3" w:rsidP="00C01089">
            <w:pPr>
              <w:rPr>
                <w:sz w:val="16"/>
              </w:rPr>
            </w:pPr>
            <w:r>
              <w:rPr>
                <w:sz w:val="16"/>
              </w:rPr>
              <w:t>Our one graduating Ph.D. student is still seeking employment.</w:t>
            </w:r>
          </w:p>
        </w:tc>
      </w:tr>
      <w:tr w:rsidR="00D17EC3">
        <w:trPr>
          <w:trHeight w:val="260"/>
        </w:trPr>
        <w:tc>
          <w:tcPr>
            <w:tcW w:w="13029" w:type="dxa"/>
            <w:gridSpan w:val="3"/>
          </w:tcPr>
          <w:p w:rsidR="00D17EC3" w:rsidRDefault="00D17EC3">
            <w:pPr>
              <w:rPr>
                <w:rFonts w:ascii="Times New Roman" w:hAnsi="Times New Roman"/>
                <w:b/>
                <w:sz w:val="18"/>
              </w:rPr>
            </w:pPr>
            <w:r>
              <w:rPr>
                <w:rFonts w:ascii="Times New Roman" w:hAnsi="Times New Roman"/>
                <w:b/>
                <w:sz w:val="20"/>
              </w:rPr>
              <w:t>Use of Results for Improving Program</w:t>
            </w:r>
          </w:p>
        </w:tc>
      </w:tr>
      <w:tr w:rsidR="00D17EC3">
        <w:trPr>
          <w:trHeight w:val="1880"/>
        </w:trPr>
        <w:tc>
          <w:tcPr>
            <w:tcW w:w="13029" w:type="dxa"/>
            <w:gridSpan w:val="3"/>
          </w:tcPr>
          <w:p w:rsidR="00D17EC3" w:rsidRDefault="00D17EC3">
            <w:pPr>
              <w:rPr>
                <w:rFonts w:ascii="Times New Roman" w:hAnsi="Times New Roman"/>
                <w:sz w:val="20"/>
                <w:u w:val="single"/>
              </w:rPr>
            </w:pPr>
          </w:p>
          <w:p w:rsidR="00D17EC3" w:rsidRDefault="00D17EC3" w:rsidP="00EB368D">
            <w:pPr>
              <w:rPr>
                <w:rFonts w:ascii="Times New Roman" w:hAnsi="Times New Roman"/>
                <w:sz w:val="20"/>
                <w:u w:val="single"/>
              </w:rPr>
            </w:pPr>
            <w:r w:rsidRPr="0056364F">
              <w:rPr>
                <w:sz w:val="16"/>
                <w:szCs w:val="16"/>
              </w:rPr>
              <w:t>The department has a “Student Opportunities” committee which informs students of scholarship availability, and job, career or graduate school opportunities. This committee will adopt a more proactive role in working with students on job applications</w:t>
            </w:r>
            <w:r>
              <w:rPr>
                <w:sz w:val="16"/>
                <w:szCs w:val="16"/>
              </w:rPr>
              <w:t>, postdoctoral positions and professional networking</w:t>
            </w:r>
            <w:r w:rsidRPr="0056364F">
              <w:rPr>
                <w:sz w:val="16"/>
                <w:szCs w:val="16"/>
              </w:rPr>
              <w:t>.</w:t>
            </w:r>
            <w:r>
              <w:rPr>
                <w:sz w:val="16"/>
                <w:szCs w:val="16"/>
              </w:rPr>
              <w:t xml:space="preserve"> Our visiting speaker program will continue to provide additional networking opportunities.</w:t>
            </w:r>
          </w:p>
        </w:tc>
      </w:tr>
    </w:tbl>
    <w:p w:rsidR="00D17EC3" w:rsidRDefault="00D17EC3">
      <w:pPr>
        <w:rPr>
          <w:rFonts w:ascii="Times New Roman" w:hAnsi="Times New Roman"/>
          <w:sz w:val="18"/>
        </w:rPr>
      </w:pPr>
      <w:r>
        <w:rPr>
          <w:rFonts w:ascii="Times New Roman" w:hAnsi="Times New Roman"/>
          <w:sz w:val="18"/>
        </w:rPr>
        <w:br w:type="page"/>
      </w:r>
    </w:p>
    <w:tbl>
      <w:tblPr>
        <w:tblW w:w="13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3"/>
        <w:gridCol w:w="4343"/>
        <w:gridCol w:w="4343"/>
      </w:tblGrid>
      <w:tr w:rsidR="00D17EC3">
        <w:trPr>
          <w:trHeight w:val="533"/>
          <w:tblHeader/>
        </w:trPr>
        <w:tc>
          <w:tcPr>
            <w:tcW w:w="4343" w:type="dxa"/>
          </w:tcPr>
          <w:p w:rsidR="00D17EC3" w:rsidRDefault="00D17EC3">
            <w:pPr>
              <w:rPr>
                <w:rFonts w:ascii="Times New Roman" w:hAnsi="Times New Roman"/>
                <w:b/>
                <w:sz w:val="18"/>
              </w:rPr>
            </w:pPr>
            <w:r>
              <w:rPr>
                <w:rFonts w:ascii="Times New Roman" w:hAnsi="Times New Roman"/>
                <w:b/>
                <w:sz w:val="18"/>
              </w:rPr>
              <w:t>Program Outcome</w:t>
            </w:r>
          </w:p>
          <w:p w:rsidR="00D17EC3" w:rsidRDefault="00D17EC3">
            <w:pPr>
              <w:rPr>
                <w:rFonts w:ascii="Times New Roman" w:hAnsi="Times New Roman"/>
                <w:b/>
                <w:sz w:val="18"/>
              </w:rPr>
            </w:pPr>
            <w:r>
              <w:rPr>
                <w:rFonts w:ascii="Times New Roman" w:hAnsi="Times New Roman"/>
                <w:b/>
                <w:sz w:val="18"/>
              </w:rPr>
              <w:t>(Stated in Measurable Terms)</w:t>
            </w:r>
          </w:p>
        </w:tc>
        <w:tc>
          <w:tcPr>
            <w:tcW w:w="4343" w:type="dxa"/>
          </w:tcPr>
          <w:p w:rsidR="00D17EC3" w:rsidRDefault="00D17EC3">
            <w:pPr>
              <w:rPr>
                <w:rFonts w:ascii="Times New Roman" w:hAnsi="Times New Roman"/>
                <w:b/>
                <w:sz w:val="18"/>
              </w:rPr>
            </w:pPr>
            <w:r>
              <w:rPr>
                <w:rFonts w:ascii="Times New Roman" w:hAnsi="Times New Roman"/>
                <w:b/>
                <w:sz w:val="18"/>
              </w:rPr>
              <w:t>Assessment Methods</w:t>
            </w:r>
          </w:p>
        </w:tc>
        <w:tc>
          <w:tcPr>
            <w:tcW w:w="4343" w:type="dxa"/>
          </w:tcPr>
          <w:p w:rsidR="00D17EC3" w:rsidRDefault="00D17EC3">
            <w:pPr>
              <w:pStyle w:val="Heading1"/>
            </w:pPr>
            <w:r>
              <w:t xml:space="preserve">Results </w:t>
            </w:r>
          </w:p>
          <w:p w:rsidR="00D17EC3" w:rsidRDefault="00D17EC3">
            <w:r>
              <w:rPr>
                <w:rFonts w:ascii="Times New Roman" w:hAnsi="Times New Roman"/>
                <w:b/>
                <w:sz w:val="18"/>
              </w:rPr>
              <w:t>(Data Summary and Analysis)</w:t>
            </w:r>
          </w:p>
        </w:tc>
      </w:tr>
      <w:tr w:rsidR="00D17EC3">
        <w:trPr>
          <w:trHeight w:val="5453"/>
        </w:trPr>
        <w:tc>
          <w:tcPr>
            <w:tcW w:w="4343" w:type="dxa"/>
          </w:tcPr>
          <w:p w:rsidR="00D17EC3" w:rsidRDefault="00D17EC3">
            <w:pPr>
              <w:rPr>
                <w:sz w:val="16"/>
              </w:rPr>
            </w:pPr>
          </w:p>
          <w:p w:rsidR="00D17EC3" w:rsidRDefault="00D17EC3">
            <w:pPr>
              <w:rPr>
                <w:sz w:val="16"/>
              </w:rPr>
            </w:pPr>
            <w:r>
              <w:rPr>
                <w:sz w:val="16"/>
              </w:rPr>
              <w:t xml:space="preserve">Graduates will be satisfied with their educational experience.  </w:t>
            </w:r>
          </w:p>
        </w:tc>
        <w:tc>
          <w:tcPr>
            <w:tcW w:w="4343" w:type="dxa"/>
          </w:tcPr>
          <w:p w:rsidR="00D17EC3" w:rsidRDefault="00D17EC3">
            <w:pPr>
              <w:rPr>
                <w:sz w:val="16"/>
              </w:rPr>
            </w:pPr>
          </w:p>
          <w:p w:rsidR="00D17EC3" w:rsidRDefault="00D17EC3">
            <w:pPr>
              <w:rPr>
                <w:sz w:val="16"/>
              </w:rPr>
            </w:pPr>
            <w:r>
              <w:rPr>
                <w:sz w:val="16"/>
              </w:rPr>
              <w:t xml:space="preserve">Every semester exit surveys will be distributed via email to graduating students by the College.  Two reminders will be sent before the end of the semester.  The survey includes 20 items assessing satisfaction in three areas:  academic quality, teaching quality, and graduate support services.  Each item is rated using a 4 point scale (1 = not satisfied, 4 = very satisfied).  A mean satisfaction score will be obtained from each student.  Overall scores range from 1 - 4 with a score of 2.5 representing “satisfactory.”  </w:t>
            </w:r>
          </w:p>
          <w:p w:rsidR="00D17EC3" w:rsidRDefault="00D17EC3">
            <w:pPr>
              <w:rPr>
                <w:sz w:val="16"/>
              </w:rPr>
            </w:pPr>
          </w:p>
          <w:p w:rsidR="00D17EC3" w:rsidRDefault="00D17EC3" w:rsidP="00DE166F">
            <w:pPr>
              <w:rPr>
                <w:sz w:val="16"/>
              </w:rPr>
            </w:pPr>
            <w:r>
              <w:rPr>
                <w:sz w:val="16"/>
              </w:rPr>
              <w:t>S</w:t>
            </w:r>
            <w:r w:rsidRPr="00A408FC">
              <w:rPr>
                <w:sz w:val="16"/>
              </w:rPr>
              <w:t>atisfaction scores for graduates will be 2.5 or above.</w:t>
            </w:r>
          </w:p>
          <w:p w:rsidR="00D17EC3" w:rsidRDefault="00D17EC3" w:rsidP="00DE166F">
            <w:pPr>
              <w:rPr>
                <w:sz w:val="16"/>
              </w:rPr>
            </w:pPr>
          </w:p>
          <w:p w:rsidR="00D17EC3" w:rsidRDefault="00D17EC3" w:rsidP="00DE166F">
            <w:pPr>
              <w:rPr>
                <w:sz w:val="16"/>
              </w:rPr>
            </w:pPr>
            <w:r>
              <w:rPr>
                <w:sz w:val="16"/>
              </w:rPr>
              <w:t>In addition, the survey asks the students to rate their overall experience at FIU using a four point scale; 1 = excellent, 2 = good, 3 = satisfactory, 4 = poor.</w:t>
            </w:r>
          </w:p>
          <w:p w:rsidR="00D17EC3" w:rsidRDefault="00D17EC3" w:rsidP="00DE166F">
            <w:pPr>
              <w:rPr>
                <w:sz w:val="16"/>
              </w:rPr>
            </w:pPr>
          </w:p>
          <w:p w:rsidR="00D17EC3" w:rsidRDefault="00D17EC3" w:rsidP="00DE166F">
            <w:pPr>
              <w:rPr>
                <w:sz w:val="16"/>
              </w:rPr>
            </w:pPr>
            <w:r>
              <w:rPr>
                <w:sz w:val="16"/>
              </w:rPr>
              <w:t>Overall experience scores for graduates will be 2.5 or less.</w:t>
            </w:r>
          </w:p>
          <w:p w:rsidR="00D17EC3" w:rsidRDefault="00D17EC3">
            <w:pPr>
              <w:rPr>
                <w:sz w:val="16"/>
              </w:rPr>
            </w:pPr>
          </w:p>
        </w:tc>
        <w:tc>
          <w:tcPr>
            <w:tcW w:w="4343" w:type="dxa"/>
          </w:tcPr>
          <w:p w:rsidR="00D17EC3" w:rsidRDefault="00D17EC3">
            <w:pPr>
              <w:rPr>
                <w:sz w:val="16"/>
              </w:rPr>
            </w:pPr>
            <w:r>
              <w:rPr>
                <w:sz w:val="16"/>
              </w:rPr>
              <w:t xml:space="preserve"> </w:t>
            </w:r>
          </w:p>
          <w:p w:rsidR="00D17EC3" w:rsidRDefault="00D17EC3" w:rsidP="00DE166F">
            <w:pPr>
              <w:rPr>
                <w:sz w:val="16"/>
              </w:rPr>
            </w:pPr>
            <w:r>
              <w:rPr>
                <w:sz w:val="16"/>
              </w:rPr>
              <w:t xml:space="preserve">Our one graduating Ph.D. student responded to the survey producing the following results. </w:t>
            </w:r>
          </w:p>
          <w:p w:rsidR="00D17EC3" w:rsidRDefault="00D17EC3" w:rsidP="00DE166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9"/>
              <w:gridCol w:w="630"/>
              <w:gridCol w:w="720"/>
              <w:gridCol w:w="630"/>
              <w:gridCol w:w="810"/>
            </w:tblGrid>
            <w:tr w:rsidR="00D17EC3" w:rsidRPr="003434CE" w:rsidTr="00DE0266">
              <w:tc>
                <w:tcPr>
                  <w:tcW w:w="939" w:type="dxa"/>
                  <w:tcBorders>
                    <w:top w:val="single" w:sz="4" w:space="0" w:color="auto"/>
                    <w:left w:val="single" w:sz="4" w:space="0" w:color="auto"/>
                    <w:bottom w:val="single" w:sz="4" w:space="0" w:color="auto"/>
                    <w:right w:val="single" w:sz="4" w:space="0" w:color="auto"/>
                  </w:tcBorders>
                </w:tcPr>
                <w:p w:rsidR="00D17EC3" w:rsidRPr="003434CE" w:rsidRDefault="00D17EC3" w:rsidP="00DE0266">
                  <w:pPr>
                    <w:jc w:val="center"/>
                    <w:rPr>
                      <w:sz w:val="16"/>
                    </w:rPr>
                  </w:pPr>
                  <w:r w:rsidRPr="003434CE">
                    <w:rPr>
                      <w:sz w:val="16"/>
                    </w:rPr>
                    <w:t>Student</w:t>
                  </w:r>
                </w:p>
              </w:tc>
              <w:tc>
                <w:tcPr>
                  <w:tcW w:w="630" w:type="dxa"/>
                  <w:tcBorders>
                    <w:top w:val="single" w:sz="4" w:space="0" w:color="auto"/>
                    <w:left w:val="single" w:sz="4" w:space="0" w:color="auto"/>
                    <w:bottom w:val="single" w:sz="4" w:space="0" w:color="auto"/>
                    <w:right w:val="single" w:sz="4" w:space="0" w:color="auto"/>
                  </w:tcBorders>
                </w:tcPr>
                <w:p w:rsidR="00D17EC3" w:rsidRPr="003434CE" w:rsidRDefault="00D17EC3" w:rsidP="00DE0266">
                  <w:pPr>
                    <w:jc w:val="center"/>
                    <w:rPr>
                      <w:sz w:val="16"/>
                    </w:rPr>
                  </w:pPr>
                  <w:r w:rsidRPr="003434CE">
                    <w:rPr>
                      <w:sz w:val="16"/>
                    </w:rPr>
                    <w:t>Acad</w:t>
                  </w:r>
                </w:p>
                <w:p w:rsidR="00D17EC3" w:rsidRPr="003434CE" w:rsidRDefault="00D17EC3" w:rsidP="00DE0266">
                  <w:pPr>
                    <w:jc w:val="center"/>
                    <w:rPr>
                      <w:sz w:val="16"/>
                    </w:rPr>
                  </w:pPr>
                  <w:r w:rsidRPr="003434CE">
                    <w:rPr>
                      <w:sz w:val="16"/>
                    </w:rPr>
                    <w:t>Qual</w:t>
                  </w:r>
                </w:p>
              </w:tc>
              <w:tc>
                <w:tcPr>
                  <w:tcW w:w="720" w:type="dxa"/>
                  <w:tcBorders>
                    <w:top w:val="single" w:sz="4" w:space="0" w:color="auto"/>
                    <w:left w:val="single" w:sz="4" w:space="0" w:color="auto"/>
                    <w:bottom w:val="single" w:sz="4" w:space="0" w:color="auto"/>
                    <w:right w:val="single" w:sz="4" w:space="0" w:color="auto"/>
                  </w:tcBorders>
                </w:tcPr>
                <w:p w:rsidR="00D17EC3" w:rsidRPr="003434CE" w:rsidRDefault="00D17EC3" w:rsidP="00DE0266">
                  <w:pPr>
                    <w:jc w:val="center"/>
                    <w:rPr>
                      <w:sz w:val="16"/>
                    </w:rPr>
                  </w:pPr>
                  <w:r w:rsidRPr="003434CE">
                    <w:rPr>
                      <w:sz w:val="16"/>
                    </w:rPr>
                    <w:t>Teach Qual</w:t>
                  </w:r>
                </w:p>
              </w:tc>
              <w:tc>
                <w:tcPr>
                  <w:tcW w:w="630" w:type="dxa"/>
                  <w:tcBorders>
                    <w:top w:val="single" w:sz="4" w:space="0" w:color="auto"/>
                    <w:left w:val="single" w:sz="4" w:space="0" w:color="auto"/>
                    <w:bottom w:val="single" w:sz="4" w:space="0" w:color="auto"/>
                    <w:right w:val="single" w:sz="4" w:space="0" w:color="auto"/>
                  </w:tcBorders>
                </w:tcPr>
                <w:p w:rsidR="00D17EC3" w:rsidRPr="003434CE" w:rsidRDefault="00D17EC3" w:rsidP="00DE0266">
                  <w:pPr>
                    <w:jc w:val="center"/>
                    <w:rPr>
                      <w:sz w:val="16"/>
                    </w:rPr>
                  </w:pPr>
                  <w:r w:rsidRPr="003434CE">
                    <w:rPr>
                      <w:sz w:val="16"/>
                    </w:rPr>
                    <w:t>Stud Supp</w:t>
                  </w:r>
                </w:p>
              </w:tc>
              <w:tc>
                <w:tcPr>
                  <w:tcW w:w="810" w:type="dxa"/>
                  <w:tcBorders>
                    <w:top w:val="single" w:sz="4" w:space="0" w:color="auto"/>
                    <w:left w:val="single" w:sz="4" w:space="0" w:color="auto"/>
                    <w:bottom w:val="single" w:sz="4" w:space="0" w:color="auto"/>
                    <w:right w:val="single" w:sz="4" w:space="0" w:color="auto"/>
                  </w:tcBorders>
                </w:tcPr>
                <w:p w:rsidR="00D17EC3" w:rsidRPr="003434CE" w:rsidRDefault="00D17EC3" w:rsidP="00DE0266">
                  <w:pPr>
                    <w:jc w:val="center"/>
                    <w:rPr>
                      <w:sz w:val="16"/>
                    </w:rPr>
                  </w:pPr>
                  <w:r w:rsidRPr="003434CE">
                    <w:rPr>
                      <w:sz w:val="16"/>
                    </w:rPr>
                    <w:t>Overall</w:t>
                  </w:r>
                </w:p>
              </w:tc>
            </w:tr>
            <w:tr w:rsidR="00D17EC3" w:rsidRPr="003434CE" w:rsidTr="00DE0266">
              <w:tc>
                <w:tcPr>
                  <w:tcW w:w="939" w:type="dxa"/>
                  <w:tcBorders>
                    <w:top w:val="single" w:sz="4" w:space="0" w:color="auto"/>
                    <w:left w:val="single" w:sz="4" w:space="0" w:color="auto"/>
                    <w:bottom w:val="single" w:sz="4" w:space="0" w:color="auto"/>
                    <w:right w:val="single" w:sz="4" w:space="0" w:color="auto"/>
                  </w:tcBorders>
                </w:tcPr>
                <w:p w:rsidR="00D17EC3" w:rsidRPr="003434CE" w:rsidRDefault="00D17EC3" w:rsidP="00DE0266">
                  <w:pPr>
                    <w:jc w:val="center"/>
                    <w:rPr>
                      <w:sz w:val="16"/>
                    </w:rPr>
                  </w:pPr>
                  <w:r>
                    <w:rPr>
                      <w:sz w:val="16"/>
                    </w:rPr>
                    <w:t>1</w:t>
                  </w:r>
                </w:p>
              </w:tc>
              <w:tc>
                <w:tcPr>
                  <w:tcW w:w="630" w:type="dxa"/>
                  <w:tcBorders>
                    <w:top w:val="single" w:sz="4" w:space="0" w:color="auto"/>
                    <w:left w:val="single" w:sz="4" w:space="0" w:color="auto"/>
                    <w:bottom w:val="single" w:sz="4" w:space="0" w:color="auto"/>
                    <w:right w:val="single" w:sz="4" w:space="0" w:color="auto"/>
                  </w:tcBorders>
                </w:tcPr>
                <w:p w:rsidR="00D17EC3" w:rsidRPr="003434CE" w:rsidRDefault="00D17EC3" w:rsidP="00DE0266">
                  <w:pPr>
                    <w:jc w:val="center"/>
                    <w:rPr>
                      <w:sz w:val="16"/>
                    </w:rPr>
                  </w:pPr>
                  <w:r>
                    <w:rPr>
                      <w:sz w:val="16"/>
                    </w:rPr>
                    <w:t>1.83</w:t>
                  </w:r>
                </w:p>
              </w:tc>
              <w:tc>
                <w:tcPr>
                  <w:tcW w:w="720" w:type="dxa"/>
                  <w:tcBorders>
                    <w:top w:val="single" w:sz="4" w:space="0" w:color="auto"/>
                    <w:left w:val="single" w:sz="4" w:space="0" w:color="auto"/>
                    <w:bottom w:val="single" w:sz="4" w:space="0" w:color="auto"/>
                    <w:right w:val="single" w:sz="4" w:space="0" w:color="auto"/>
                  </w:tcBorders>
                </w:tcPr>
                <w:p w:rsidR="00D17EC3" w:rsidRPr="003434CE" w:rsidRDefault="00D17EC3" w:rsidP="00DE0266">
                  <w:pPr>
                    <w:jc w:val="center"/>
                    <w:rPr>
                      <w:sz w:val="16"/>
                    </w:rPr>
                  </w:pPr>
                  <w:r>
                    <w:rPr>
                      <w:sz w:val="16"/>
                    </w:rPr>
                    <w:t>2.83</w:t>
                  </w:r>
                </w:p>
              </w:tc>
              <w:tc>
                <w:tcPr>
                  <w:tcW w:w="630" w:type="dxa"/>
                  <w:tcBorders>
                    <w:top w:val="single" w:sz="4" w:space="0" w:color="auto"/>
                    <w:left w:val="single" w:sz="4" w:space="0" w:color="auto"/>
                    <w:bottom w:val="single" w:sz="4" w:space="0" w:color="auto"/>
                    <w:right w:val="single" w:sz="4" w:space="0" w:color="auto"/>
                  </w:tcBorders>
                </w:tcPr>
                <w:p w:rsidR="00D17EC3" w:rsidRPr="003434CE" w:rsidRDefault="00D17EC3" w:rsidP="00DE0266">
                  <w:pPr>
                    <w:jc w:val="center"/>
                    <w:rPr>
                      <w:sz w:val="16"/>
                    </w:rPr>
                  </w:pPr>
                  <w:r>
                    <w:rPr>
                      <w:sz w:val="16"/>
                    </w:rPr>
                    <w:t>2.53</w:t>
                  </w:r>
                </w:p>
              </w:tc>
              <w:tc>
                <w:tcPr>
                  <w:tcW w:w="810" w:type="dxa"/>
                  <w:tcBorders>
                    <w:top w:val="single" w:sz="4" w:space="0" w:color="auto"/>
                    <w:left w:val="single" w:sz="4" w:space="0" w:color="auto"/>
                    <w:bottom w:val="single" w:sz="4" w:space="0" w:color="auto"/>
                    <w:right w:val="single" w:sz="4" w:space="0" w:color="auto"/>
                  </w:tcBorders>
                </w:tcPr>
                <w:p w:rsidR="00D17EC3" w:rsidRPr="003434CE" w:rsidRDefault="00D17EC3" w:rsidP="00DE0266">
                  <w:pPr>
                    <w:jc w:val="center"/>
                    <w:rPr>
                      <w:sz w:val="16"/>
                    </w:rPr>
                  </w:pPr>
                  <w:r>
                    <w:rPr>
                      <w:sz w:val="16"/>
                    </w:rPr>
                    <w:t>3</w:t>
                  </w:r>
                </w:p>
              </w:tc>
            </w:tr>
          </w:tbl>
          <w:p w:rsidR="00D17EC3" w:rsidRDefault="00D17EC3" w:rsidP="00DE166F">
            <w:pPr>
              <w:rPr>
                <w:sz w:val="16"/>
              </w:rPr>
            </w:pPr>
          </w:p>
          <w:p w:rsidR="00D17EC3" w:rsidRPr="00EB368D" w:rsidRDefault="00D17EC3">
            <w:pPr>
              <w:rPr>
                <w:sz w:val="16"/>
              </w:rPr>
            </w:pPr>
          </w:p>
        </w:tc>
      </w:tr>
      <w:tr w:rsidR="00D17EC3">
        <w:trPr>
          <w:trHeight w:val="260"/>
        </w:trPr>
        <w:tc>
          <w:tcPr>
            <w:tcW w:w="13029" w:type="dxa"/>
            <w:gridSpan w:val="3"/>
          </w:tcPr>
          <w:p w:rsidR="00D17EC3" w:rsidRDefault="00D17EC3">
            <w:pPr>
              <w:rPr>
                <w:rFonts w:ascii="Times New Roman" w:hAnsi="Times New Roman"/>
                <w:b/>
                <w:sz w:val="18"/>
              </w:rPr>
            </w:pPr>
            <w:r>
              <w:rPr>
                <w:rFonts w:ascii="Times New Roman" w:hAnsi="Times New Roman"/>
                <w:b/>
                <w:sz w:val="20"/>
              </w:rPr>
              <w:t>Use of Results for Improving Program</w:t>
            </w:r>
          </w:p>
        </w:tc>
      </w:tr>
      <w:tr w:rsidR="00D17EC3">
        <w:trPr>
          <w:trHeight w:val="1880"/>
        </w:trPr>
        <w:tc>
          <w:tcPr>
            <w:tcW w:w="13029" w:type="dxa"/>
            <w:gridSpan w:val="3"/>
          </w:tcPr>
          <w:p w:rsidR="00D17EC3" w:rsidRDefault="00D17EC3">
            <w:pPr>
              <w:rPr>
                <w:rFonts w:ascii="Times New Roman" w:hAnsi="Times New Roman"/>
                <w:sz w:val="20"/>
                <w:u w:val="single"/>
              </w:rPr>
            </w:pPr>
          </w:p>
          <w:p w:rsidR="00D17EC3" w:rsidRPr="00BC7934" w:rsidRDefault="00D17EC3" w:rsidP="00EB368D">
            <w:pPr>
              <w:rPr>
                <w:rFonts w:ascii="Times New Roman" w:hAnsi="Times New Roman"/>
                <w:sz w:val="20"/>
              </w:rPr>
            </w:pPr>
            <w:r w:rsidRPr="00BC7934">
              <w:rPr>
                <w:rFonts w:ascii="Times New Roman" w:hAnsi="Times New Roman"/>
                <w:sz w:val="20"/>
              </w:rPr>
              <w:t>The department will ensure that graduating graduate students are apprised of the importance of exit surveys, particularly in a department where the numbers of such students are small. The department is also entertaining the idea of a graduate student spokesperson to improve communication between the graduate student body and the department’s Graduate Committee.</w:t>
            </w:r>
          </w:p>
        </w:tc>
      </w:tr>
    </w:tbl>
    <w:p w:rsidR="00D17EC3" w:rsidRDefault="00D17EC3">
      <w:pPr>
        <w:rPr>
          <w:rFonts w:ascii="Times New Roman" w:hAnsi="Times New Roman"/>
          <w:b/>
        </w:rPr>
      </w:pPr>
      <w:r>
        <w:rPr>
          <w:rFonts w:ascii="Times New Roman" w:hAnsi="Times New Roman"/>
          <w:b/>
        </w:rPr>
        <w:lastRenderedPageBreak/>
        <w:t>Summarize use of results for continuous improvement of the educational program:</w:t>
      </w:r>
    </w:p>
    <w:p w:rsidR="00D17EC3" w:rsidRDefault="00D17EC3">
      <w:pPr>
        <w:rPr>
          <w:rFonts w:ascii="Times New Roman" w:hAnsi="Times New Roman"/>
          <w:sz w:val="20"/>
        </w:rPr>
      </w:pPr>
      <w:r>
        <w:rPr>
          <w:rFonts w:ascii="Times New Roman" w:hAnsi="Times New Roman"/>
          <w:sz w:val="20"/>
        </w:rPr>
        <w:t>The graduate student experience is expected to benefit greatly from a number of department initiatives such as increased support for travel to conferences, improved communication between the graduate student body and the graduate faculty, and improvement in the area of mentoring as it relates to postgraduate opportunities.</w:t>
      </w:r>
    </w:p>
    <w:sectPr w:rsidR="00D17EC3" w:rsidSect="00192CC5">
      <w:headerReference w:type="default" r:id="rId7"/>
      <w:footerReference w:type="default" r:id="rId8"/>
      <w:pgSz w:w="15840" w:h="12240" w:orient="landscape" w:code="1"/>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75B" w:rsidRDefault="00A1075B">
      <w:r>
        <w:separator/>
      </w:r>
    </w:p>
  </w:endnote>
  <w:endnote w:type="continuationSeparator" w:id="0">
    <w:p w:rsidR="00A1075B" w:rsidRDefault="00A107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EC3" w:rsidRDefault="00D17EC3">
    <w:pPr>
      <w:pStyle w:val="Footer"/>
      <w:rPr>
        <w:rFonts w:ascii="Times New Roman" w:hAnsi="Times New Roman"/>
        <w:sz w:val="16"/>
      </w:rPr>
    </w:pPr>
    <w:r>
      <w:rPr>
        <w:rFonts w:ascii="Times New Roman" w:hAnsi="Times New Roman"/>
        <w:sz w:val="16"/>
      </w:rPr>
      <w:t xml:space="preserve">Please submit questions and forms to: </w:t>
    </w:r>
    <w:hyperlink r:id="rId1" w:history="1">
      <w:r>
        <w:rPr>
          <w:rStyle w:val="Hyperlink"/>
          <w:rFonts w:ascii="Times New Roman" w:hAnsi="Times New Roman"/>
          <w:sz w:val="16"/>
        </w:rPr>
        <w:t>ie@fiu.edu</w:t>
      </w:r>
    </w:hyperlink>
  </w:p>
  <w:p w:rsidR="00D17EC3" w:rsidRDefault="00D17EC3">
    <w:pPr>
      <w:pStyle w:val="Footer"/>
      <w:rPr>
        <w:rFonts w:ascii="Times New Roman" w:hAnsi="Times New Roman"/>
        <w:sz w:val="16"/>
      </w:rPr>
    </w:pPr>
    <w:r>
      <w:rPr>
        <w:rFonts w:ascii="Times New Roman" w:hAnsi="Times New Roman"/>
        <w:sz w:val="16"/>
      </w:rPr>
      <w:t xml:space="preserve">For further information, visit the Institutional Effectiveness website: </w:t>
    </w:r>
    <w:hyperlink r:id="rId2" w:history="1">
      <w:r>
        <w:rPr>
          <w:rStyle w:val="Hyperlink"/>
          <w:rFonts w:ascii="Times New Roman" w:hAnsi="Times New Roman"/>
          <w:sz w:val="16"/>
        </w:rPr>
        <w:t>http://w3.fiu.edu/irdata/portal/inst_effectiveness.htm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75B" w:rsidRDefault="00A1075B">
      <w:r>
        <w:separator/>
      </w:r>
    </w:p>
  </w:footnote>
  <w:footnote w:type="continuationSeparator" w:id="0">
    <w:p w:rsidR="00A1075B" w:rsidRDefault="00A10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EC3" w:rsidRDefault="00D17EC3" w:rsidP="00BC5EE5">
    <w:pPr>
      <w:tabs>
        <w:tab w:val="left" w:pos="720"/>
        <w:tab w:val="left" w:pos="1440"/>
        <w:tab w:val="left" w:pos="2160"/>
        <w:tab w:val="left" w:pos="2880"/>
        <w:tab w:val="left" w:pos="3600"/>
        <w:tab w:val="left" w:pos="4320"/>
        <w:tab w:val="left" w:pos="5040"/>
        <w:tab w:val="left" w:pos="5760"/>
        <w:tab w:val="left" w:pos="6480"/>
        <w:tab w:val="left" w:pos="7200"/>
        <w:tab w:val="left" w:pos="8093"/>
      </w:tabs>
      <w:rPr>
        <w:rFonts w:ascii="Times New Roman" w:hAnsi="Times New Roman"/>
      </w:rPr>
    </w:pPr>
    <w:smartTag w:uri="urn:schemas-microsoft-com:office:smarttags" w:element="place">
      <w:smartTag w:uri="urn:schemas-microsoft-com:office:smarttags" w:element="PlaceName">
        <w:r>
          <w:rPr>
            <w:rFonts w:ascii="Times New Roman" w:hAnsi="Times New Roman"/>
          </w:rPr>
          <w:t>Florida</w:t>
        </w:r>
      </w:smartTag>
      <w:r>
        <w:rPr>
          <w:rFonts w:ascii="Times New Roman" w:hAnsi="Times New Roman"/>
        </w:rPr>
        <w:t xml:space="preserve"> </w:t>
      </w:r>
      <w:smartTag w:uri="urn:schemas-microsoft-com:office:smarttags" w:element="PlaceName">
        <w:r>
          <w:rPr>
            <w:rFonts w:ascii="Times New Roman" w:hAnsi="Times New Roman"/>
          </w:rPr>
          <w:t>International</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w:t>
    </w:r>
    <w:r>
      <w:rPr>
        <w:rFonts w:ascii="Times New Roman" w:hAnsi="Times New Roman"/>
      </w:rPr>
      <w:tab/>
      <w:t>Program Outcome Assessment 2009-2010 for</w:t>
    </w:r>
    <w:r>
      <w:rPr>
        <w:rFonts w:ascii="Times New Roman" w:hAnsi="Times New Roman"/>
      </w:rPr>
      <w:tab/>
      <w:t>GRADUATE PROGRAMS</w:t>
    </w:r>
  </w:p>
  <w:p w:rsidR="00D17EC3" w:rsidRDefault="00D17EC3">
    <w:pPr>
      <w:rPr>
        <w:rFonts w:ascii="Times New Roman" w:hAnsi="Times New Roman"/>
      </w:rPr>
    </w:pPr>
    <w:r>
      <w:rPr>
        <w:rFonts w:ascii="Times New Roman" w:hAnsi="Times New Roman"/>
      </w:rPr>
      <w:t>Academic Unit: Physics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Style w:val="PageNumber"/>
        <w:rFonts w:ascii="Times New Roman" w:hAnsi="Times New Roman"/>
      </w:rPr>
      <w:t xml:space="preserve">Page </w:t>
    </w:r>
    <w:r w:rsidR="0032003C">
      <w:rPr>
        <w:rStyle w:val="PageNumber"/>
        <w:rFonts w:ascii="Times New Roman" w:hAnsi="Times New Roman"/>
      </w:rPr>
      <w:fldChar w:fldCharType="begin"/>
    </w:r>
    <w:r>
      <w:rPr>
        <w:rStyle w:val="PageNumber"/>
        <w:rFonts w:ascii="Times New Roman" w:hAnsi="Times New Roman"/>
      </w:rPr>
      <w:instrText xml:space="preserve"> PAGE </w:instrText>
    </w:r>
    <w:r w:rsidR="0032003C">
      <w:rPr>
        <w:rStyle w:val="PageNumber"/>
        <w:rFonts w:ascii="Times New Roman" w:hAnsi="Times New Roman"/>
      </w:rPr>
      <w:fldChar w:fldCharType="separate"/>
    </w:r>
    <w:r w:rsidR="00F94A4E">
      <w:rPr>
        <w:rStyle w:val="PageNumber"/>
        <w:rFonts w:ascii="Times New Roman" w:hAnsi="Times New Roman"/>
        <w:noProof/>
      </w:rPr>
      <w:t>1</w:t>
    </w:r>
    <w:r w:rsidR="0032003C">
      <w:rPr>
        <w:rStyle w:val="PageNumber"/>
        <w:rFonts w:ascii="Times New Roman" w:hAnsi="Times New Roman"/>
      </w:rPr>
      <w:fldChar w:fldCharType="end"/>
    </w:r>
  </w:p>
  <w:p w:rsidR="00D17EC3" w:rsidRDefault="00D17EC3">
    <w:pPr>
      <w:rPr>
        <w:rFonts w:ascii="Times New Roman" w:hAnsi="Times New Roman"/>
      </w:rPr>
    </w:pPr>
    <w:r>
      <w:rPr>
        <w:rFonts w:ascii="Times New Roman" w:hAnsi="Times New Roman"/>
      </w:rPr>
      <w:t>Degree Program: Ph.D.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17EC3" w:rsidRDefault="00D17EC3">
    <w:pPr>
      <w:rPr>
        <w:rFonts w:ascii="Times New Roman" w:hAnsi="Times New Roman"/>
      </w:rPr>
    </w:pPr>
    <w:r>
      <w:rPr>
        <w:rFonts w:ascii="Times New Roman" w:hAnsi="Times New Roman"/>
      </w:rPr>
      <w:t xml:space="preserve">Relation to Unit’s Mission:  </w:t>
    </w:r>
    <w:r>
      <w:rPr>
        <w:rFonts w:ascii="Times New Roman" w:hAnsi="Times New Roman"/>
        <w:sz w:val="20"/>
        <w:szCs w:val="20"/>
      </w:rPr>
      <w:t>To educate and graduate Ph.D. degree students with an advanced understanding of the concepts and laws of physics and the ability to perform significant and independent research in physics that will expand the physics knowledge base.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79B0"/>
    <w:multiLevelType w:val="hybridMultilevel"/>
    <w:tmpl w:val="3566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2670A"/>
    <w:multiLevelType w:val="hybridMultilevel"/>
    <w:tmpl w:val="F45E4C8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26D5ABA"/>
    <w:multiLevelType w:val="hybridMultilevel"/>
    <w:tmpl w:val="D114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E22DE"/>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4">
    <w:nsid w:val="2B1170DA"/>
    <w:multiLevelType w:val="hybridMultilevel"/>
    <w:tmpl w:val="F52C1E78"/>
    <w:lvl w:ilvl="0" w:tplc="0409000F">
      <w:start w:val="3"/>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5">
    <w:nsid w:val="2DC772DC"/>
    <w:multiLevelType w:val="hybridMultilevel"/>
    <w:tmpl w:val="6A0C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9D3EF6"/>
    <w:multiLevelType w:val="hybridMultilevel"/>
    <w:tmpl w:val="2342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7A90"/>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8">
    <w:nsid w:val="6EF7461C"/>
    <w:multiLevelType w:val="singleLevel"/>
    <w:tmpl w:val="0409000F"/>
    <w:lvl w:ilvl="0">
      <w:start w:val="2"/>
      <w:numFmt w:val="decimal"/>
      <w:lvlText w:val="%1."/>
      <w:lvlJc w:val="left"/>
      <w:pPr>
        <w:tabs>
          <w:tab w:val="num" w:pos="360"/>
        </w:tabs>
        <w:ind w:left="360" w:hanging="360"/>
      </w:pPr>
      <w:rPr>
        <w:rFonts w:cs="Times New Roman" w:hint="default"/>
      </w:rPr>
    </w:lvl>
  </w:abstractNum>
  <w:num w:numId="1">
    <w:abstractNumId w:val="8"/>
  </w:num>
  <w:num w:numId="2">
    <w:abstractNumId w:val="7"/>
  </w:num>
  <w:num w:numId="3">
    <w:abstractNumId w:val="3"/>
  </w:num>
  <w:num w:numId="4">
    <w:abstractNumId w:val="4"/>
  </w:num>
  <w:num w:numId="5">
    <w:abstractNumId w:val="6"/>
  </w:num>
  <w:num w:numId="6">
    <w:abstractNumId w:val="0"/>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1C9"/>
    <w:rsid w:val="000171C9"/>
    <w:rsid w:val="00030ED9"/>
    <w:rsid w:val="000830F7"/>
    <w:rsid w:val="00192CC5"/>
    <w:rsid w:val="001C3210"/>
    <w:rsid w:val="001D28CA"/>
    <w:rsid w:val="001E020C"/>
    <w:rsid w:val="002847AB"/>
    <w:rsid w:val="0032003C"/>
    <w:rsid w:val="003434CE"/>
    <w:rsid w:val="00372193"/>
    <w:rsid w:val="0056364F"/>
    <w:rsid w:val="0061759B"/>
    <w:rsid w:val="006E322D"/>
    <w:rsid w:val="007B0840"/>
    <w:rsid w:val="00801301"/>
    <w:rsid w:val="00922ACC"/>
    <w:rsid w:val="00991AE1"/>
    <w:rsid w:val="009B0BF5"/>
    <w:rsid w:val="00A1075B"/>
    <w:rsid w:val="00A408FC"/>
    <w:rsid w:val="00BC5EE5"/>
    <w:rsid w:val="00BC7934"/>
    <w:rsid w:val="00C01089"/>
    <w:rsid w:val="00C47C44"/>
    <w:rsid w:val="00CC7FAF"/>
    <w:rsid w:val="00CF71FC"/>
    <w:rsid w:val="00D17EC3"/>
    <w:rsid w:val="00D30283"/>
    <w:rsid w:val="00DA3E64"/>
    <w:rsid w:val="00DB5FB2"/>
    <w:rsid w:val="00DE0266"/>
    <w:rsid w:val="00DE166F"/>
    <w:rsid w:val="00E133D4"/>
    <w:rsid w:val="00E24F75"/>
    <w:rsid w:val="00EB368D"/>
    <w:rsid w:val="00EF71C9"/>
    <w:rsid w:val="00F92D3F"/>
    <w:rsid w:val="00F94A4E"/>
    <w:rsid w:val="00FE20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C5"/>
    <w:rPr>
      <w:rFonts w:ascii="Arial" w:hAnsi="Arial"/>
      <w:sz w:val="24"/>
      <w:szCs w:val="24"/>
    </w:rPr>
  </w:style>
  <w:style w:type="paragraph" w:styleId="Heading1">
    <w:name w:val="heading 1"/>
    <w:basedOn w:val="Normal"/>
    <w:next w:val="Normal"/>
    <w:link w:val="Heading1Char"/>
    <w:uiPriority w:val="99"/>
    <w:qFormat/>
    <w:rsid w:val="00192CC5"/>
    <w:pPr>
      <w:keepNext/>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3F3"/>
    <w:rPr>
      <w:rFonts w:ascii="Cambria" w:eastAsia="Times New Roman" w:hAnsi="Cambria" w:cs="Times New Roman"/>
      <w:b/>
      <w:bCs/>
      <w:kern w:val="32"/>
      <w:sz w:val="32"/>
      <w:szCs w:val="32"/>
    </w:rPr>
  </w:style>
  <w:style w:type="paragraph" w:styleId="Header">
    <w:name w:val="header"/>
    <w:basedOn w:val="Normal"/>
    <w:link w:val="HeaderChar"/>
    <w:uiPriority w:val="99"/>
    <w:rsid w:val="00192CC5"/>
    <w:pPr>
      <w:tabs>
        <w:tab w:val="center" w:pos="4320"/>
        <w:tab w:val="right" w:pos="8640"/>
      </w:tabs>
    </w:pPr>
  </w:style>
  <w:style w:type="character" w:customStyle="1" w:styleId="HeaderChar">
    <w:name w:val="Header Char"/>
    <w:basedOn w:val="DefaultParagraphFont"/>
    <w:link w:val="Header"/>
    <w:uiPriority w:val="99"/>
    <w:semiHidden/>
    <w:rsid w:val="00F513F3"/>
    <w:rPr>
      <w:rFonts w:ascii="Arial" w:hAnsi="Arial"/>
      <w:sz w:val="24"/>
      <w:szCs w:val="24"/>
    </w:rPr>
  </w:style>
  <w:style w:type="paragraph" w:styleId="Footer">
    <w:name w:val="footer"/>
    <w:basedOn w:val="Normal"/>
    <w:link w:val="FooterChar"/>
    <w:uiPriority w:val="99"/>
    <w:rsid w:val="00192CC5"/>
    <w:pPr>
      <w:tabs>
        <w:tab w:val="center" w:pos="4320"/>
        <w:tab w:val="right" w:pos="8640"/>
      </w:tabs>
    </w:pPr>
  </w:style>
  <w:style w:type="character" w:customStyle="1" w:styleId="FooterChar">
    <w:name w:val="Footer Char"/>
    <w:basedOn w:val="DefaultParagraphFont"/>
    <w:link w:val="Footer"/>
    <w:uiPriority w:val="99"/>
    <w:semiHidden/>
    <w:rsid w:val="00F513F3"/>
    <w:rPr>
      <w:rFonts w:ascii="Arial" w:hAnsi="Arial"/>
      <w:sz w:val="24"/>
      <w:szCs w:val="24"/>
    </w:rPr>
  </w:style>
  <w:style w:type="character" w:styleId="PageNumber">
    <w:name w:val="page number"/>
    <w:basedOn w:val="DefaultParagraphFont"/>
    <w:uiPriority w:val="99"/>
    <w:rsid w:val="00192CC5"/>
    <w:rPr>
      <w:rFonts w:cs="Times New Roman"/>
    </w:rPr>
  </w:style>
  <w:style w:type="paragraph" w:styleId="BodyText">
    <w:name w:val="Body Text"/>
    <w:basedOn w:val="Normal"/>
    <w:link w:val="BodyTextChar"/>
    <w:uiPriority w:val="99"/>
    <w:rsid w:val="00192CC5"/>
    <w:rPr>
      <w:sz w:val="18"/>
    </w:rPr>
  </w:style>
  <w:style w:type="character" w:customStyle="1" w:styleId="BodyTextChar">
    <w:name w:val="Body Text Char"/>
    <w:basedOn w:val="DefaultParagraphFont"/>
    <w:link w:val="BodyText"/>
    <w:uiPriority w:val="99"/>
    <w:semiHidden/>
    <w:rsid w:val="00F513F3"/>
    <w:rPr>
      <w:rFonts w:ascii="Arial" w:hAnsi="Arial"/>
      <w:sz w:val="24"/>
      <w:szCs w:val="24"/>
    </w:rPr>
  </w:style>
  <w:style w:type="paragraph" w:styleId="BalloonText">
    <w:name w:val="Balloon Text"/>
    <w:basedOn w:val="Normal"/>
    <w:link w:val="BalloonTextChar"/>
    <w:uiPriority w:val="99"/>
    <w:semiHidden/>
    <w:rsid w:val="00192CC5"/>
    <w:rPr>
      <w:rFonts w:ascii="Tahoma" w:hAnsi="Tahoma" w:cs="Tahoma"/>
      <w:sz w:val="16"/>
      <w:szCs w:val="16"/>
    </w:rPr>
  </w:style>
  <w:style w:type="character" w:customStyle="1" w:styleId="BalloonTextChar">
    <w:name w:val="Balloon Text Char"/>
    <w:basedOn w:val="DefaultParagraphFont"/>
    <w:link w:val="BalloonText"/>
    <w:uiPriority w:val="99"/>
    <w:semiHidden/>
    <w:rsid w:val="00F513F3"/>
    <w:rPr>
      <w:sz w:val="0"/>
      <w:szCs w:val="0"/>
    </w:rPr>
  </w:style>
  <w:style w:type="character" w:styleId="Hyperlink">
    <w:name w:val="Hyperlink"/>
    <w:basedOn w:val="DefaultParagraphFont"/>
    <w:uiPriority w:val="99"/>
    <w:rsid w:val="00192CC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0953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3.fiu.edu/irdata/portal/inst_effectiveness.htm" TargetMode="External"/><Relationship Id="rId1" Type="http://schemas.openxmlformats.org/officeDocument/2006/relationships/hyperlink" Target="mailto:ie@f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3610</Characters>
  <Application>Microsoft Office Word</Application>
  <DocSecurity>0</DocSecurity>
  <Lines>30</Lines>
  <Paragraphs>8</Paragraphs>
  <ScaleCrop>false</ScaleCrop>
  <Company>FIU</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Expanded Statement of Institutional Purpose</dc:title>
  <dc:subject/>
  <dc:creator>Susan Himburg</dc:creator>
  <cp:keywords/>
  <dc:description/>
  <cp:lastModifiedBy>Walter Van Hamme</cp:lastModifiedBy>
  <cp:revision>2</cp:revision>
  <cp:lastPrinted>2008-11-12T13:07:00Z</cp:lastPrinted>
  <dcterms:created xsi:type="dcterms:W3CDTF">2010-05-26T19:50:00Z</dcterms:created>
  <dcterms:modified xsi:type="dcterms:W3CDTF">2010-05-26T19:50:00Z</dcterms:modified>
</cp:coreProperties>
</file>